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 w:line="60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孟河实验小学赛车教室改造项目</w:t>
      </w:r>
    </w:p>
    <w:p>
      <w:pPr>
        <w:spacing w:afterLines="50" w:line="600" w:lineRule="exact"/>
        <w:ind w:firstLine="542" w:firstLineChars="150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招标公告</w:t>
      </w:r>
    </w:p>
    <w:bookmarkEnd w:id="0"/>
    <w:tbl>
      <w:tblPr>
        <w:tblStyle w:val="4"/>
        <w:tblW w:w="10313" w:type="dxa"/>
        <w:tblInd w:w="-9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4"/>
        <w:gridCol w:w="1820"/>
        <w:gridCol w:w="1621"/>
        <w:gridCol w:w="31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exact"/>
        </w:trPr>
        <w:tc>
          <w:tcPr>
            <w:tcW w:w="372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招标单位（公章）</w:t>
            </w:r>
          </w:p>
        </w:tc>
        <w:tc>
          <w:tcPr>
            <w:tcW w:w="6589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Style w:val="6"/>
                <w:rFonts w:ascii="宋体" w:hAnsi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常州市新北区孟河实验小学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孟河小学赛车教室改造项目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招标编号</w:t>
            </w:r>
          </w:p>
        </w:tc>
        <w:tc>
          <w:tcPr>
            <w:tcW w:w="1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ZRCG-2019110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项目地址</w:t>
            </w:r>
          </w:p>
        </w:tc>
        <w:tc>
          <w:tcPr>
            <w:tcW w:w="31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新北区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项目估算造价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rPr>
                <w:rStyle w:val="7"/>
                <w:rFonts w:ascii="宋体" w:hAnsi="宋体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13．6万元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招标内容、数量用途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施工图及工程量清单范围的全部工程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投标人资格要求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900"/>
              </w:tabs>
              <w:spacing w:line="360" w:lineRule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具有独立承担民事责任能力的法人或其他组织，提供有效的营业执照副本，经营范围包括设计、制作；企业形象策划；展览展示服务等同类内容；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投标人项目负责人要求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申报一名项目负责人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评标办法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详见招标公告附件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报名时间及地址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2019年11月13日至11月15日下午17:00前携带《零星工程投标报名表》至常州中瑞工程造价咨询有限公司(新北区通江中路229号友邦商务大厦A座13楼)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资料费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300元（现金），投标报名时交纳，不予退还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资格审查时间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同开标时间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资格审查地点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常州中瑞工程造价咨询有限公司(新北区通江中路229号友邦商务大厦A座13楼)开标室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开标（投标截止）时间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2019年11月25日15：00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投标、开标地址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常州中瑞工程造价咨询有限公司(新北区通江中路229号友邦商务大厦A座13楼)开标室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3724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联系人、联系电话</w:t>
            </w:r>
          </w:p>
        </w:tc>
        <w:tc>
          <w:tcPr>
            <w:tcW w:w="65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00" w:lineRule="exac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孙端阳  0519-85606263</w:t>
            </w:r>
          </w:p>
        </w:tc>
      </w:tr>
    </w:tbl>
    <w:p>
      <w:pPr>
        <w:spacing w:afterLines="50" w:line="48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afterLines="50" w:line="48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零星工程投标报名表</w:t>
      </w:r>
    </w:p>
    <w:tbl>
      <w:tblPr>
        <w:tblStyle w:val="4"/>
        <w:tblW w:w="91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6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26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招标单位</w:t>
            </w:r>
          </w:p>
        </w:tc>
        <w:tc>
          <w:tcPr>
            <w:tcW w:w="6521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常州市新北区孟河实验小学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孟河实验小学赛车教室改造项目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项目地址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6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常州市新北区孟河实验小学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161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投标单位报名情况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投标单位（盖章）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资质等级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法定代表人（签字并盖章）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60" w:lineRule="exac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投标负责人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投标报名时间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 xml:space="preserve"> 投标报名接受人审查意见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46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spacing w:line="46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审查人签名：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40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  注</w:t>
            </w:r>
          </w:p>
        </w:tc>
        <w:tc>
          <w:tcPr>
            <w:tcW w:w="6521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1.投标报名人应如实填写；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2.所有资料、证书原件和复印件应该相符，原件由接受人审查后退还，复印件留存；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3.投标报名结束后，招标人应进行汇总，并将投标报名汇总送单位领导小组备案。</w:t>
            </w:r>
          </w:p>
          <w:p>
            <w:pPr>
              <w:autoSpaceDE w:val="0"/>
              <w:autoSpaceDN w:val="0"/>
              <w:spacing w:line="32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4、资格审查需携带资料：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（1）企业法定代表人资格证明书、企业法定代表人授权委托书、被委托人第二代身份证；</w:t>
            </w:r>
          </w:p>
          <w:p>
            <w:pPr>
              <w:spacing w:line="320" w:lineRule="exac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（2）企业营业执照（副本）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ab/>
            </w:r>
          </w:p>
          <w:p>
            <w:pPr>
              <w:widowControl/>
              <w:spacing w:line="320" w:lineRule="exact"/>
              <w:ind w:right="23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特别提醒：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kern w:val="0"/>
                <w:sz w:val="24"/>
                <w:szCs w:val="24"/>
              </w:rPr>
              <w:t>①所有资格审查资料需提供原件及二份有效复印件并加盖公章；</w:t>
            </w: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20" w:lineRule="exact"/>
              <w:ind w:right="23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 xml:space="preserve">②除身份证原件、企业法定代表人资格证明书、授权委托书原件不用装袋、密封，其他资格审查资料必须一起装袋、密封，在资格审查前一次性递交，资格审查截止时间后不再接受补充资料。 </w:t>
            </w:r>
          </w:p>
          <w:p>
            <w:pPr>
              <w:widowControl/>
              <w:spacing w:line="320" w:lineRule="exact"/>
              <w:ind w:right="23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③在规定时间内未能按上述要求提供以上资料的作资审不合格处理。</w:t>
            </w:r>
          </w:p>
          <w:p>
            <w:pPr>
              <w:widowControl/>
              <w:spacing w:line="320" w:lineRule="exact"/>
              <w:ind w:right="23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</w:tbl>
    <w:p>
      <w:pPr>
        <w:spacing w:afterLines="50" w:line="480" w:lineRule="exact"/>
        <w:jc w:val="left"/>
        <w:rPr>
          <w:rFonts w:ascii="宋体" w:hAnsi="宋体"/>
          <w:sz w:val="30"/>
          <w:szCs w:val="30"/>
        </w:rPr>
      </w:pPr>
    </w:p>
    <w:p>
      <w:pPr>
        <w:spacing w:afterLines="50" w:line="480" w:lineRule="exact"/>
        <w:jc w:val="left"/>
        <w:rPr>
          <w:rFonts w:ascii="宋体" w:hAnsi="宋体"/>
          <w:sz w:val="30"/>
          <w:szCs w:val="30"/>
        </w:rPr>
      </w:pPr>
    </w:p>
    <w:p>
      <w:pPr>
        <w:spacing w:afterLines="50" w:line="48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附件一：</w:t>
      </w:r>
    </w:p>
    <w:p>
      <w:pPr>
        <w:spacing w:afterLines="50" w:line="6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评标办法</w:t>
      </w:r>
    </w:p>
    <w:p>
      <w:pPr>
        <w:pStyle w:val="8"/>
        <w:spacing w:line="500" w:lineRule="exact"/>
        <w:ind w:firstLine="350" w:firstLineChars="146"/>
        <w:outlineLvl w:val="0"/>
        <w:rPr>
          <w:rFonts w:cs="宋体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</w:rPr>
        <w:t>本工程具体评标办法如下（共计100分）：</w:t>
      </w:r>
    </w:p>
    <w:p>
      <w:pPr>
        <w:pStyle w:val="11"/>
        <w:spacing w:line="360" w:lineRule="auto"/>
        <w:ind w:left="210" w:leftChars="100" w:firstLine="120" w:firstLineChars="5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 1、确定有效投标报价</w:t>
      </w:r>
    </w:p>
    <w:p>
      <w:pPr>
        <w:pStyle w:val="11"/>
        <w:spacing w:line="360" w:lineRule="auto"/>
        <w:ind w:left="210" w:leftChars="100" w:firstLine="0" w:firstLineChars="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   本工程招标控制价为：</w:t>
      </w:r>
      <w:r>
        <w:rPr>
          <w:rFonts w:hint="eastAsia" w:cs="宋体" w:asciiTheme="minorEastAsia" w:hAnsiTheme="minorEastAsia" w:eastAsiaTheme="minorEastAsia"/>
          <w:b/>
          <w:bCs/>
          <w:color w:val="000000"/>
          <w:sz w:val="24"/>
          <w:szCs w:val="24"/>
          <w:u w:val="single"/>
        </w:rPr>
        <w:t>135102.62</w:t>
      </w: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元。凡符合招标文件、招标答疑纪要等有关招标实质性要求，且在招标控制价以下的投标报价均为有效投标报价，未能实质性响应上述有关招标要求的投标文件为无效投标文件。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2、投标报价得分</w:t>
      </w:r>
    </w:p>
    <w:p>
      <w:pPr>
        <w:pStyle w:val="11"/>
        <w:spacing w:line="360" w:lineRule="auto"/>
        <w:ind w:left="210" w:leftChars="100" w:firstLine="240" w:firstLineChars="10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(1)、确定评标基准价</w:t>
      </w:r>
    </w:p>
    <w:p>
      <w:pPr>
        <w:pStyle w:val="11"/>
        <w:spacing w:line="360" w:lineRule="auto"/>
        <w:ind w:left="210" w:leftChars="100" w:firstLine="0" w:firstLineChars="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    以有效投标文件的最低评标价为评标基准价；</w:t>
      </w:r>
    </w:p>
    <w:p>
      <w:pPr>
        <w:pStyle w:val="11"/>
        <w:spacing w:line="360" w:lineRule="auto"/>
        <w:ind w:left="210" w:leftChars="100" w:firstLine="0" w:firstLineChars="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(2)、打分 </w:t>
      </w:r>
    </w:p>
    <w:p>
      <w:pPr>
        <w:pStyle w:val="11"/>
        <w:spacing w:line="360" w:lineRule="auto"/>
        <w:ind w:left="210" w:leftChars="100" w:firstLine="48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有效投标文件的评标价与评标基准价相等得满分100分，有效投标文件的评标价高于该基准价的，每高出1%扣1分。（按内插法，四舍五入取两位小数）。</w:t>
      </w:r>
    </w:p>
    <w:p>
      <w:pPr>
        <w:pStyle w:val="11"/>
        <w:spacing w:line="360" w:lineRule="auto"/>
        <w:ind w:left="210" w:leftChars="100" w:firstLine="48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>评标委员会在评标报告上签字后，评标基准价不因招投标当事人质疑、投诉、复议以及其它任何情形而改变，但评标过程中的计算错误可作调整。</w:t>
      </w:r>
    </w:p>
    <w:p>
      <w:pPr>
        <w:pStyle w:val="11"/>
        <w:spacing w:line="360" w:lineRule="auto"/>
        <w:ind w:left="210" w:leftChars="100" w:firstLine="480"/>
        <w:rPr>
          <w:rFonts w:cs="宋体" w:asciiTheme="minorEastAsia" w:hAnsiTheme="minorEastAsia" w:eastAsia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  <w:szCs w:val="24"/>
        </w:rPr>
        <w:t xml:space="preserve">4、定标： </w:t>
      </w:r>
    </w:p>
    <w:p>
      <w:pPr>
        <w:spacing w:line="360" w:lineRule="auto"/>
        <w:ind w:left="210" w:leftChars="100"/>
        <w:rPr>
          <w:rFonts w:cs="宋体" w:asciiTheme="minorEastAsia" w:hAnsiTheme="minorEastAsia" w:eastAsiaTheme="minorEastAsia"/>
          <w:color w:val="000000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sz w:val="24"/>
        </w:rPr>
        <w:t>以上得分最高者为第一中标候选人。若得分相同，则选择其中投标报价低的为第一中标候选人；若得分相同，投标报价也相同，当场按签到顺序抽签确定第一中标候选人。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4"/>
        </w:rPr>
        <w:t xml:space="preserve">5、评标细则使用说明： </w:t>
      </w:r>
    </w:p>
    <w:p>
      <w:pPr>
        <w:tabs>
          <w:tab w:val="left" w:pos="0"/>
          <w:tab w:val="left" w:pos="993"/>
          <w:tab w:val="left" w:pos="1134"/>
        </w:tabs>
        <w:adjustRightInd w:val="0"/>
        <w:snapToGrid w:val="0"/>
        <w:spacing w:line="360" w:lineRule="auto"/>
        <w:outlineLvl w:val="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24"/>
        </w:rPr>
        <w:t>1、评标程序：1）确定有效报价；2）符合性评审（资格审查）；3）清标；4）商务标评审；5）汇总得分；6）定标。2、前续评审不合格的不再进行后续评审。</w:t>
      </w:r>
    </w:p>
    <w:p>
      <w:pPr>
        <w:pStyle w:val="8"/>
        <w:spacing w:line="480" w:lineRule="exact"/>
        <w:ind w:firstLine="420" w:firstLineChars="150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spacing w:line="400" w:lineRule="exact"/>
        <w:ind w:firstLine="420" w:firstLineChars="200"/>
        <w:jc w:val="left"/>
        <w:rPr>
          <w:rFonts w:asciiTheme="minorEastAsia" w:hAnsiTheme="minorEastAsia" w:eastAsiaTheme="minorEastAsia"/>
        </w:rPr>
      </w:pPr>
    </w:p>
    <w:sectPr>
      <w:headerReference r:id="rId3" w:type="default"/>
      <w:pgSz w:w="11906" w:h="16838"/>
      <w:pgMar w:top="851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3342F3"/>
    <w:rsid w:val="00014A90"/>
    <w:rsid w:val="00022019"/>
    <w:rsid w:val="000241D5"/>
    <w:rsid w:val="000B5B7A"/>
    <w:rsid w:val="000C7F4A"/>
    <w:rsid w:val="000D21FF"/>
    <w:rsid w:val="000D416B"/>
    <w:rsid w:val="000F7E44"/>
    <w:rsid w:val="00102E12"/>
    <w:rsid w:val="00172A80"/>
    <w:rsid w:val="00184C70"/>
    <w:rsid w:val="001D7C5C"/>
    <w:rsid w:val="001E597F"/>
    <w:rsid w:val="001F2B7E"/>
    <w:rsid w:val="00206403"/>
    <w:rsid w:val="00207CEF"/>
    <w:rsid w:val="002127B2"/>
    <w:rsid w:val="00233F2A"/>
    <w:rsid w:val="00240D6F"/>
    <w:rsid w:val="00250499"/>
    <w:rsid w:val="002B415C"/>
    <w:rsid w:val="002B5D5E"/>
    <w:rsid w:val="002C7A13"/>
    <w:rsid w:val="002C7E57"/>
    <w:rsid w:val="002D7001"/>
    <w:rsid w:val="002F25D6"/>
    <w:rsid w:val="00313DAB"/>
    <w:rsid w:val="00333562"/>
    <w:rsid w:val="003A0918"/>
    <w:rsid w:val="003B186C"/>
    <w:rsid w:val="003C4E8E"/>
    <w:rsid w:val="003C6605"/>
    <w:rsid w:val="00464D10"/>
    <w:rsid w:val="00466043"/>
    <w:rsid w:val="0048428C"/>
    <w:rsid w:val="00493EA0"/>
    <w:rsid w:val="004F20F2"/>
    <w:rsid w:val="004F285A"/>
    <w:rsid w:val="00522F31"/>
    <w:rsid w:val="0052301C"/>
    <w:rsid w:val="005306BC"/>
    <w:rsid w:val="00550A41"/>
    <w:rsid w:val="00560D18"/>
    <w:rsid w:val="00563542"/>
    <w:rsid w:val="005846C7"/>
    <w:rsid w:val="005A286D"/>
    <w:rsid w:val="005A34F0"/>
    <w:rsid w:val="005A3D9C"/>
    <w:rsid w:val="005B119E"/>
    <w:rsid w:val="00613ED8"/>
    <w:rsid w:val="00620812"/>
    <w:rsid w:val="00680983"/>
    <w:rsid w:val="006A340B"/>
    <w:rsid w:val="0071256F"/>
    <w:rsid w:val="007218DA"/>
    <w:rsid w:val="0074390C"/>
    <w:rsid w:val="0077589B"/>
    <w:rsid w:val="007853C7"/>
    <w:rsid w:val="007C07B9"/>
    <w:rsid w:val="0083688B"/>
    <w:rsid w:val="008463C0"/>
    <w:rsid w:val="008D4A57"/>
    <w:rsid w:val="00906FAD"/>
    <w:rsid w:val="00957E3A"/>
    <w:rsid w:val="00960B00"/>
    <w:rsid w:val="00961B9E"/>
    <w:rsid w:val="009A652B"/>
    <w:rsid w:val="009D1380"/>
    <w:rsid w:val="00A42B8C"/>
    <w:rsid w:val="00A5273F"/>
    <w:rsid w:val="00A542DB"/>
    <w:rsid w:val="00A80077"/>
    <w:rsid w:val="00A93AC5"/>
    <w:rsid w:val="00AC473A"/>
    <w:rsid w:val="00B04744"/>
    <w:rsid w:val="00B267AA"/>
    <w:rsid w:val="00B56E5B"/>
    <w:rsid w:val="00B81F2B"/>
    <w:rsid w:val="00B95011"/>
    <w:rsid w:val="00BD6701"/>
    <w:rsid w:val="00C164AF"/>
    <w:rsid w:val="00C214B5"/>
    <w:rsid w:val="00C27573"/>
    <w:rsid w:val="00C31DC6"/>
    <w:rsid w:val="00C43E3B"/>
    <w:rsid w:val="00C46493"/>
    <w:rsid w:val="00C5038F"/>
    <w:rsid w:val="00C564C8"/>
    <w:rsid w:val="00CA0CBC"/>
    <w:rsid w:val="00CA4A6F"/>
    <w:rsid w:val="00CA7218"/>
    <w:rsid w:val="00CB3D22"/>
    <w:rsid w:val="00CE193F"/>
    <w:rsid w:val="00D12777"/>
    <w:rsid w:val="00D200BC"/>
    <w:rsid w:val="00D21D81"/>
    <w:rsid w:val="00D564B7"/>
    <w:rsid w:val="00D75F0A"/>
    <w:rsid w:val="00D7707B"/>
    <w:rsid w:val="00D90854"/>
    <w:rsid w:val="00DA5C86"/>
    <w:rsid w:val="00DF7D7C"/>
    <w:rsid w:val="00E02AE1"/>
    <w:rsid w:val="00E14AE8"/>
    <w:rsid w:val="00E239C4"/>
    <w:rsid w:val="00E37AAA"/>
    <w:rsid w:val="00E37FA5"/>
    <w:rsid w:val="00E42097"/>
    <w:rsid w:val="00E905D5"/>
    <w:rsid w:val="00EB6434"/>
    <w:rsid w:val="00EC769A"/>
    <w:rsid w:val="00F06390"/>
    <w:rsid w:val="00F06D05"/>
    <w:rsid w:val="00F17C8C"/>
    <w:rsid w:val="00F44E25"/>
    <w:rsid w:val="00F529CF"/>
    <w:rsid w:val="00F66AD1"/>
    <w:rsid w:val="00F773F6"/>
    <w:rsid w:val="00F77A45"/>
    <w:rsid w:val="00FC0DB4"/>
    <w:rsid w:val="00FC645F"/>
    <w:rsid w:val="00FE5AE8"/>
    <w:rsid w:val="024D6526"/>
    <w:rsid w:val="033342F3"/>
    <w:rsid w:val="06B80982"/>
    <w:rsid w:val="11D81580"/>
    <w:rsid w:val="1B1612A1"/>
    <w:rsid w:val="706B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Times New Roman" w:cs="Arial Unicode MS"/>
      <w:color w:val="000000"/>
      <w:sz w:val="24"/>
      <w:szCs w:val="24"/>
      <w:lang w:val="en-US" w:eastAsia="zh-CN" w:bidi="ar-SA"/>
    </w:rPr>
  </w:style>
  <w:style w:type="character" w:customStyle="1" w:styleId="9">
    <w:name w:val="页脚 Char"/>
    <w:basedOn w:val="5"/>
    <w:link w:val="2"/>
    <w:semiHidden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6F796-772D-401A-9179-2DA6F4DC4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229</Words>
  <Characters>1310</Characters>
  <Lines>10</Lines>
  <Paragraphs>3</Paragraphs>
  <TotalTime>7</TotalTime>
  <ScaleCrop>false</ScaleCrop>
  <LinksUpToDate>false</LinksUpToDate>
  <CharactersWithSpaces>1536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2019-10-30T09:16:00Z</dcterms:created>
  <dc:creator>LENOVO</dc:creator>
  <cp:lastModifiedBy>Administrator</cp:lastModifiedBy>
  <cp:lastPrinted>2019-06-28T00:33:00Z</cp:lastPrinted>
  <dcterms:modified xsi:type="dcterms:W3CDTF">2019-11-13T09:18:29Z</dcterms:modified>
  <dc:title>常州市新北区实验中学中心广场改造工程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