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黑体"/>
          <w:b/>
          <w:kern w:val="0"/>
          <w:sz w:val="44"/>
          <w:szCs w:val="44"/>
        </w:rPr>
      </w:pPr>
    </w:p>
    <w:p>
      <w:pPr>
        <w:snapToGrid w:val="0"/>
        <w:spacing w:line="360" w:lineRule="auto"/>
        <w:jc w:val="center"/>
        <w:rPr>
          <w:rFonts w:ascii="宋体" w:hAnsi="宋体" w:cs="黑体"/>
          <w:b/>
          <w:kern w:val="0"/>
          <w:sz w:val="44"/>
          <w:szCs w:val="44"/>
        </w:rPr>
      </w:pPr>
    </w:p>
    <w:p>
      <w:pPr>
        <w:snapToGrid w:val="0"/>
        <w:spacing w:line="360" w:lineRule="auto"/>
        <w:jc w:val="center"/>
        <w:rPr>
          <w:rFonts w:ascii="宋体" w:hAnsi="宋体" w:cs="黑体"/>
          <w:b/>
          <w:kern w:val="0"/>
          <w:sz w:val="44"/>
          <w:szCs w:val="44"/>
        </w:rPr>
      </w:pPr>
      <w:r>
        <w:rPr>
          <w:rFonts w:hint="eastAsia" w:ascii="宋体" w:hAnsi="宋体" w:cs="黑体"/>
          <w:b/>
          <w:kern w:val="0"/>
          <w:sz w:val="44"/>
          <w:szCs w:val="44"/>
        </w:rPr>
        <w:t>连城管网机电设备维修及定期保养劳务项目竞争性谈判</w:t>
      </w:r>
      <w:r>
        <w:rPr>
          <w:rFonts w:hint="eastAsia" w:ascii="宋体" w:hAnsi="宋体"/>
          <w:b/>
          <w:sz w:val="44"/>
          <w:szCs w:val="44"/>
        </w:rPr>
        <w:t>文件</w:t>
      </w:r>
    </w:p>
    <w:p>
      <w:pPr>
        <w:snapToGrid w:val="0"/>
        <w:spacing w:line="360" w:lineRule="auto"/>
        <w:jc w:val="center"/>
        <w:rPr>
          <w:rFonts w:hint="eastAsia" w:ascii="宋体" w:hAnsi="宋体" w:eastAsia="宋体" w:cs="Arial"/>
          <w:b/>
          <w:sz w:val="20"/>
          <w:szCs w:val="21"/>
          <w:lang w:eastAsia="zh-CN"/>
        </w:rPr>
      </w:pPr>
      <w:r>
        <w:rPr>
          <w:rFonts w:ascii="宋体" w:hAnsi="宋体"/>
          <w:b/>
          <w:sz w:val="28"/>
          <w:szCs w:val="32"/>
        </w:rPr>
        <w:t>ZRCG-20180</w:t>
      </w:r>
      <w:r>
        <w:rPr>
          <w:rFonts w:hint="eastAsia" w:ascii="宋体" w:hAnsi="宋体"/>
          <w:b/>
          <w:sz w:val="28"/>
          <w:szCs w:val="32"/>
        </w:rPr>
        <w:t>6</w:t>
      </w:r>
      <w:r>
        <w:rPr>
          <w:rFonts w:ascii="宋体" w:hAnsi="宋体"/>
          <w:b/>
          <w:sz w:val="28"/>
          <w:szCs w:val="32"/>
        </w:rPr>
        <w:t>0</w:t>
      </w:r>
      <w:r>
        <w:rPr>
          <w:rFonts w:hint="eastAsia" w:ascii="宋体" w:hAnsi="宋体"/>
          <w:b/>
          <w:sz w:val="28"/>
          <w:szCs w:val="32"/>
          <w:lang w:val="en-US" w:eastAsia="zh-CN"/>
        </w:rPr>
        <w:t>5</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ascii="宋体" w:hAnsi="宋体"/>
          <w:b/>
          <w:sz w:val="28"/>
          <w:szCs w:val="32"/>
        </w:rPr>
      </w:pPr>
      <w:r>
        <w:rPr>
          <w:rFonts w:ascii="宋体" w:hAnsi="宋体"/>
          <w:b/>
          <w:sz w:val="28"/>
          <w:szCs w:val="32"/>
        </w:rPr>
        <w:t>采购人：</w:t>
      </w:r>
      <w:r>
        <w:rPr>
          <w:rFonts w:hint="eastAsia" w:ascii="宋体" w:hAnsi="宋体"/>
          <w:b/>
          <w:sz w:val="28"/>
          <w:szCs w:val="32"/>
        </w:rPr>
        <w:t>常州市连城管道网络有限公司</w:t>
      </w:r>
    </w:p>
    <w:p>
      <w:pPr>
        <w:adjustRightInd w:val="0"/>
        <w:snapToGrid w:val="0"/>
        <w:spacing w:line="360" w:lineRule="auto"/>
        <w:jc w:val="center"/>
        <w:rPr>
          <w:rFonts w:ascii="宋体" w:hAnsi="宋体"/>
          <w:b/>
          <w:sz w:val="28"/>
          <w:szCs w:val="32"/>
        </w:rPr>
      </w:pPr>
      <w:r>
        <w:rPr>
          <w:rFonts w:hint="eastAsia" w:ascii="宋体" w:hAnsi="宋体"/>
          <w:b/>
          <w:sz w:val="28"/>
          <w:szCs w:val="32"/>
        </w:rPr>
        <w:t>集中采购机构</w:t>
      </w:r>
      <w:r>
        <w:rPr>
          <w:rFonts w:ascii="宋体" w:hAnsi="宋体"/>
          <w:b/>
          <w:sz w:val="28"/>
          <w:szCs w:val="32"/>
        </w:rPr>
        <w:t>：</w:t>
      </w:r>
      <w:r>
        <w:rPr>
          <w:rFonts w:hint="eastAsia" w:ascii="宋体" w:hAnsi="宋体"/>
          <w:b/>
          <w:sz w:val="28"/>
          <w:szCs w:val="32"/>
        </w:rPr>
        <w:t>常州中瑞工程造价咨询有限公司</w:t>
      </w:r>
    </w:p>
    <w:p>
      <w:pPr>
        <w:adjustRightInd w:val="0"/>
        <w:snapToGrid w:val="0"/>
        <w:spacing w:line="360" w:lineRule="auto"/>
        <w:jc w:val="center"/>
        <w:rPr>
          <w:rFonts w:ascii="宋体" w:hAnsi="宋体"/>
          <w:b/>
          <w:sz w:val="28"/>
          <w:szCs w:val="32"/>
        </w:rPr>
      </w:pPr>
      <w:r>
        <w:rPr>
          <w:rFonts w:hint="eastAsia" w:ascii="宋体" w:hAnsi="宋体"/>
          <w:b/>
          <w:sz w:val="28"/>
          <w:szCs w:val="32"/>
        </w:rPr>
        <w:t xml:space="preserve">  2018</w:t>
      </w:r>
      <w:r>
        <w:rPr>
          <w:rFonts w:ascii="宋体" w:hAnsi="宋体"/>
          <w:b/>
          <w:sz w:val="28"/>
          <w:szCs w:val="32"/>
        </w:rPr>
        <w:t>年</w:t>
      </w:r>
      <w:r>
        <w:rPr>
          <w:rFonts w:hint="eastAsia" w:ascii="宋体" w:hAnsi="宋体"/>
          <w:b/>
          <w:sz w:val="28"/>
          <w:szCs w:val="32"/>
        </w:rPr>
        <w:t>6</w:t>
      </w:r>
      <w:r>
        <w:rPr>
          <w:rFonts w:ascii="宋体" w:hAnsi="宋体"/>
          <w:b/>
          <w:sz w:val="28"/>
          <w:szCs w:val="32"/>
        </w:rPr>
        <w:t>月</w:t>
      </w:r>
    </w:p>
    <w:p>
      <w:pPr>
        <w:snapToGrid w:val="0"/>
        <w:spacing w:line="360" w:lineRule="auto"/>
        <w:jc w:val="center"/>
        <w:rPr>
          <w:rFonts w:ascii="宋体" w:hAnsi="宋体" w:cs="Arial"/>
          <w:sz w:val="28"/>
          <w:szCs w:val="30"/>
        </w:rPr>
      </w:pPr>
    </w:p>
    <w:p>
      <w:pPr>
        <w:snapToGrid w:val="0"/>
        <w:spacing w:line="360" w:lineRule="auto"/>
        <w:jc w:val="center"/>
        <w:rPr>
          <w:rFonts w:ascii="宋体" w:hAnsi="宋体" w:cs="Arial"/>
          <w:sz w:val="28"/>
          <w:szCs w:val="30"/>
        </w:rPr>
      </w:pPr>
    </w:p>
    <w:p>
      <w:pPr>
        <w:snapToGrid w:val="0"/>
        <w:spacing w:line="360" w:lineRule="auto"/>
        <w:jc w:val="center"/>
        <w:rPr>
          <w:rFonts w:ascii="宋体" w:hAnsi="宋体" w:cs="Arial"/>
          <w:sz w:val="28"/>
          <w:szCs w:val="30"/>
        </w:rPr>
      </w:pPr>
    </w:p>
    <w:p>
      <w:pPr>
        <w:snapToGrid w:val="0"/>
        <w:spacing w:line="360" w:lineRule="auto"/>
        <w:jc w:val="center"/>
        <w:rPr>
          <w:rFonts w:ascii="宋体" w:hAnsi="宋体" w:cs="Arial"/>
          <w:b/>
          <w:sz w:val="48"/>
          <w:szCs w:val="48"/>
        </w:rPr>
      </w:pPr>
      <w:r>
        <w:rPr>
          <w:rFonts w:hint="eastAsia" w:ascii="宋体" w:hAnsi="宋体" w:cs="Arial"/>
          <w:b/>
          <w:sz w:val="48"/>
          <w:szCs w:val="48"/>
        </w:rPr>
        <w:t>前附表</w:t>
      </w:r>
    </w:p>
    <w:tbl>
      <w:tblPr>
        <w:tblStyle w:val="58"/>
        <w:tblW w:w="924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823"/>
        <w:gridCol w:w="8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475" w:hRule="exact"/>
          <w:jc w:val="center"/>
        </w:trPr>
        <w:tc>
          <w:tcPr>
            <w:tcW w:w="823" w:type="dxa"/>
            <w:tcBorders>
              <w:top w:val="single" w:color="auto" w:sz="4" w:space="0"/>
              <w:bottom w:val="single" w:color="auto" w:sz="4" w:space="0"/>
              <w:right w:val="single" w:color="auto" w:sz="4" w:space="0"/>
            </w:tcBorders>
          </w:tcPr>
          <w:p>
            <w:pPr>
              <w:snapToGrid w:val="0"/>
              <w:spacing w:line="360" w:lineRule="auto"/>
              <w:jc w:val="center"/>
              <w:rPr>
                <w:rFonts w:ascii="宋体" w:hAnsi="宋体"/>
                <w:spacing w:val="2"/>
                <w:sz w:val="24"/>
              </w:rPr>
            </w:pPr>
            <w:r>
              <w:rPr>
                <w:rFonts w:hint="eastAsia" w:ascii="宋体" w:hAnsi="宋体" w:cs="仿宋_GB2312"/>
                <w:spacing w:val="2"/>
                <w:sz w:val="24"/>
                <w:lang w:val="zh-CN"/>
              </w:rPr>
              <w:t>项号</w:t>
            </w:r>
          </w:p>
        </w:tc>
        <w:tc>
          <w:tcPr>
            <w:tcW w:w="8418" w:type="dxa"/>
            <w:tcBorders>
              <w:top w:val="single" w:color="auto" w:sz="4" w:space="0"/>
              <w:left w:val="single" w:color="auto" w:sz="4" w:space="0"/>
              <w:bottom w:val="single" w:color="auto" w:sz="4" w:space="0"/>
            </w:tcBorders>
          </w:tcPr>
          <w:p>
            <w:pPr>
              <w:snapToGrid w:val="0"/>
              <w:spacing w:line="360" w:lineRule="auto"/>
              <w:jc w:val="center"/>
              <w:rPr>
                <w:rFonts w:ascii="宋体" w:hAnsi="宋体"/>
                <w:spacing w:val="2"/>
                <w:sz w:val="24"/>
              </w:rPr>
            </w:pPr>
            <w:r>
              <w:rPr>
                <w:rFonts w:hint="eastAsia" w:ascii="宋体" w:hAnsi="宋体" w:cs="仿宋_GB2312"/>
                <w:spacing w:val="2"/>
                <w:sz w:val="24"/>
                <w:lang w:val="zh-CN"/>
              </w:rPr>
              <w:t>内容规格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666" w:hRule="atLeast"/>
          <w:jc w:val="center"/>
        </w:trPr>
        <w:tc>
          <w:tcPr>
            <w:tcW w:w="823"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spacing w:val="2"/>
                <w:sz w:val="24"/>
                <w:lang w:val="zh-CN"/>
              </w:rPr>
            </w:pPr>
            <w:r>
              <w:rPr>
                <w:rFonts w:ascii="宋体" w:hAnsi="宋体" w:cs="仿宋_GB2312"/>
                <w:spacing w:val="2"/>
                <w:sz w:val="24"/>
                <w:lang w:val="zh-CN"/>
              </w:rPr>
              <w:t>1</w:t>
            </w:r>
          </w:p>
        </w:tc>
        <w:tc>
          <w:tcPr>
            <w:tcW w:w="8418" w:type="dxa"/>
            <w:tcBorders>
              <w:top w:val="single" w:color="auto" w:sz="4" w:space="0"/>
              <w:left w:val="single" w:color="auto" w:sz="4" w:space="0"/>
              <w:bottom w:val="single" w:color="auto" w:sz="4" w:space="0"/>
            </w:tcBorders>
            <w:vAlign w:val="center"/>
          </w:tcPr>
          <w:p>
            <w:pPr>
              <w:snapToGrid w:val="0"/>
              <w:spacing w:line="360" w:lineRule="auto"/>
              <w:rPr>
                <w:rFonts w:ascii="宋体" w:hAnsi="宋体"/>
                <w:sz w:val="24"/>
              </w:rPr>
            </w:pPr>
            <w:r>
              <w:rPr>
                <w:rFonts w:hint="eastAsia" w:ascii="宋体" w:hAnsi="宋体" w:cs="仿宋_GB2312"/>
                <w:spacing w:val="2"/>
                <w:sz w:val="24"/>
                <w:lang w:val="zh-CN"/>
              </w:rPr>
              <w:t>项目名称：</w:t>
            </w:r>
            <w:r>
              <w:rPr>
                <w:rFonts w:hint="eastAsia" w:ascii="宋体" w:hAnsi="宋体"/>
                <w:color w:val="000000"/>
                <w:kern w:val="0"/>
                <w:sz w:val="24"/>
              </w:rPr>
              <w:t>连城管网机电设备维修及定期保养劳务项目</w:t>
            </w:r>
          </w:p>
          <w:p>
            <w:pPr>
              <w:snapToGrid w:val="0"/>
              <w:spacing w:line="360" w:lineRule="auto"/>
              <w:rPr>
                <w:rFonts w:hint="eastAsia" w:ascii="宋体" w:hAnsi="宋体" w:eastAsia="宋体"/>
                <w:b/>
                <w:bCs/>
                <w:spacing w:val="2"/>
                <w:sz w:val="24"/>
                <w:lang w:eastAsia="zh-CN"/>
              </w:rPr>
            </w:pPr>
            <w:r>
              <w:rPr>
                <w:rFonts w:hint="eastAsia" w:ascii="宋体" w:hAnsi="宋体" w:cs="仿宋_GB2312"/>
                <w:spacing w:val="2"/>
                <w:sz w:val="24"/>
                <w:lang w:val="zh-CN"/>
              </w:rPr>
              <w:t>项目编号：</w:t>
            </w:r>
            <w:r>
              <w:rPr>
                <w:rFonts w:ascii="宋体" w:hAnsi="宋体" w:cs="仿宋_GB2312"/>
                <w:bCs/>
                <w:spacing w:val="2"/>
                <w:sz w:val="24"/>
                <w:lang w:val="zh-CN"/>
              </w:rPr>
              <w:t>ZRCG-20180</w:t>
            </w:r>
            <w:r>
              <w:rPr>
                <w:rFonts w:hint="eastAsia" w:ascii="宋体" w:hAnsi="宋体" w:cs="仿宋_GB2312"/>
                <w:bCs/>
                <w:spacing w:val="2"/>
                <w:sz w:val="24"/>
                <w:lang w:val="zh-CN"/>
              </w:rPr>
              <w:t>6</w:t>
            </w:r>
            <w:r>
              <w:rPr>
                <w:rFonts w:ascii="宋体" w:hAnsi="宋体" w:cs="仿宋_GB2312"/>
                <w:bCs/>
                <w:spacing w:val="2"/>
                <w:sz w:val="24"/>
                <w:lang w:val="zh-CN"/>
              </w:rPr>
              <w:t>0</w:t>
            </w:r>
            <w:r>
              <w:rPr>
                <w:rFonts w:hint="eastAsia" w:ascii="宋体" w:hAnsi="宋体" w:cs="仿宋_GB2312"/>
                <w:bCs/>
                <w:spacing w:val="2"/>
                <w:sz w:val="24"/>
                <w:lang w:val="en-US" w:eastAsia="zh-CN"/>
              </w:rPr>
              <w:t>5</w:t>
            </w:r>
            <w:bookmarkStart w:id="112" w:name="_GoBack"/>
            <w:bookmarkEnd w:id="112"/>
          </w:p>
          <w:p>
            <w:pPr>
              <w:snapToGrid w:val="0"/>
              <w:spacing w:line="360" w:lineRule="auto"/>
              <w:rPr>
                <w:rFonts w:ascii="宋体" w:hAnsi="宋体"/>
                <w:spacing w:val="2"/>
                <w:sz w:val="24"/>
              </w:rPr>
            </w:pPr>
            <w:r>
              <w:rPr>
                <w:rFonts w:hint="eastAsia" w:ascii="宋体" w:hAnsi="宋体"/>
                <w:color w:val="000000"/>
                <w:kern w:val="0"/>
                <w:sz w:val="24"/>
              </w:rPr>
              <w:t>服务限期：合同一年一签，经考核合格后可续签一年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352" w:hRule="atLeast"/>
          <w:jc w:val="center"/>
        </w:trPr>
        <w:tc>
          <w:tcPr>
            <w:tcW w:w="823"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spacing w:val="2"/>
                <w:sz w:val="24"/>
                <w:lang w:val="zh-CN"/>
              </w:rPr>
            </w:pPr>
            <w:r>
              <w:rPr>
                <w:rFonts w:ascii="宋体" w:hAnsi="宋体" w:cs="仿宋_GB2312"/>
                <w:spacing w:val="2"/>
                <w:sz w:val="24"/>
                <w:lang w:val="zh-CN"/>
              </w:rPr>
              <w:t>2</w:t>
            </w:r>
          </w:p>
        </w:tc>
        <w:tc>
          <w:tcPr>
            <w:tcW w:w="8418"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仿宋_GB2312"/>
                <w:spacing w:val="2"/>
                <w:sz w:val="24"/>
                <w:lang w:val="zh-CN"/>
              </w:rPr>
            </w:pPr>
            <w:r>
              <w:rPr>
                <w:rFonts w:hint="eastAsia" w:ascii="宋体" w:hAnsi="宋体" w:cs="仿宋_GB2312"/>
                <w:spacing w:val="2"/>
                <w:sz w:val="24"/>
                <w:lang w:val="zh-CN"/>
              </w:rPr>
              <w:t>投标保证金数额：人民币 5000元整</w:t>
            </w:r>
          </w:p>
          <w:p>
            <w:pPr>
              <w:snapToGrid w:val="0"/>
              <w:spacing w:line="360" w:lineRule="auto"/>
              <w:rPr>
                <w:rFonts w:ascii="宋体" w:hAnsi="宋体" w:cs="仿宋_GB2312"/>
                <w:spacing w:val="2"/>
                <w:sz w:val="24"/>
                <w:lang w:val="zh-CN"/>
              </w:rPr>
            </w:pPr>
            <w:r>
              <w:rPr>
                <w:rFonts w:hint="eastAsia" w:ascii="宋体" w:hAnsi="宋体" w:cs="仿宋_GB2312"/>
                <w:spacing w:val="2"/>
                <w:sz w:val="24"/>
                <w:lang w:val="zh-CN"/>
              </w:rPr>
              <w:t>投标保证金缴纳方式：以银行电汇或转账</w:t>
            </w:r>
          </w:p>
          <w:p>
            <w:pPr>
              <w:snapToGrid w:val="0"/>
              <w:spacing w:line="360" w:lineRule="auto"/>
              <w:rPr>
                <w:rFonts w:ascii="宋体" w:hAnsi="宋体" w:cs="仿宋_GB2312"/>
                <w:spacing w:val="2"/>
                <w:sz w:val="24"/>
                <w:lang w:val="zh-CN"/>
              </w:rPr>
            </w:pPr>
            <w:r>
              <w:rPr>
                <w:rFonts w:hint="eastAsia" w:ascii="宋体" w:hAnsi="宋体" w:cs="仿宋_GB2312"/>
                <w:spacing w:val="2"/>
                <w:sz w:val="24"/>
                <w:lang w:val="zh-CN"/>
              </w:rPr>
              <w:t>收款单位：常州中瑞工程造价咨询有限公司</w:t>
            </w:r>
          </w:p>
          <w:p>
            <w:pPr>
              <w:snapToGrid w:val="0"/>
              <w:spacing w:line="360" w:lineRule="auto"/>
              <w:rPr>
                <w:rFonts w:ascii="宋体" w:hAnsi="宋体" w:cs="仿宋_GB2312"/>
                <w:spacing w:val="2"/>
                <w:sz w:val="24"/>
                <w:lang w:val="zh-CN"/>
              </w:rPr>
            </w:pPr>
            <w:r>
              <w:rPr>
                <w:rFonts w:hint="eastAsia" w:ascii="宋体" w:hAnsi="宋体" w:cs="仿宋_GB2312"/>
                <w:spacing w:val="2"/>
                <w:sz w:val="24"/>
                <w:lang w:val="zh-CN"/>
              </w:rPr>
              <w:t>银行账号：8273204110701201000050058</w:t>
            </w:r>
          </w:p>
          <w:p>
            <w:pPr>
              <w:snapToGrid w:val="0"/>
              <w:spacing w:line="360" w:lineRule="auto"/>
              <w:rPr>
                <w:rFonts w:ascii="宋体" w:hAnsi="宋体" w:cs="仿宋_GB2312"/>
                <w:sz w:val="24"/>
              </w:rPr>
            </w:pPr>
            <w:r>
              <w:rPr>
                <w:rFonts w:hint="eastAsia" w:ascii="宋体" w:hAnsi="宋体" w:cs="仿宋_GB2312"/>
                <w:spacing w:val="2"/>
                <w:sz w:val="24"/>
                <w:lang w:val="zh-CN"/>
              </w:rPr>
              <w:t>开户银行：江南农商行常州高新区科技支行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20" w:hRule="atLeast"/>
          <w:jc w:val="center"/>
        </w:trPr>
        <w:tc>
          <w:tcPr>
            <w:tcW w:w="823"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spacing w:val="2"/>
                <w:sz w:val="24"/>
                <w:lang w:val="zh-CN"/>
              </w:rPr>
            </w:pPr>
            <w:r>
              <w:rPr>
                <w:rFonts w:hint="eastAsia" w:ascii="宋体" w:hAnsi="宋体" w:cs="仿宋_GB2312"/>
                <w:spacing w:val="2"/>
                <w:sz w:val="24"/>
                <w:lang w:val="zh-CN"/>
              </w:rPr>
              <w:t>3</w:t>
            </w:r>
          </w:p>
        </w:tc>
        <w:tc>
          <w:tcPr>
            <w:tcW w:w="8418" w:type="dxa"/>
            <w:tcBorders>
              <w:top w:val="single" w:color="auto" w:sz="4" w:space="0"/>
              <w:left w:val="single" w:color="auto" w:sz="4" w:space="0"/>
              <w:bottom w:val="single" w:color="auto" w:sz="4" w:space="0"/>
            </w:tcBorders>
            <w:vAlign w:val="center"/>
          </w:tcPr>
          <w:p>
            <w:pPr>
              <w:snapToGrid w:val="0"/>
              <w:spacing w:line="360" w:lineRule="auto"/>
              <w:rPr>
                <w:rFonts w:ascii="宋体" w:hAnsi="宋体"/>
                <w:spacing w:val="2"/>
                <w:sz w:val="24"/>
              </w:rPr>
            </w:pPr>
            <w:r>
              <w:rPr>
                <w:rFonts w:hint="eastAsia" w:ascii="宋体" w:hAnsi="宋体" w:cs="仿宋_GB2312"/>
                <w:spacing w:val="2"/>
                <w:sz w:val="24"/>
                <w:lang w:val="zh-CN"/>
              </w:rPr>
              <w:t>响应文件份数：</w:t>
            </w:r>
            <w:r>
              <w:rPr>
                <w:rFonts w:hint="eastAsia" w:ascii="宋体" w:hAnsi="宋体" w:cs="仿宋_GB2312"/>
                <w:bCs/>
                <w:spacing w:val="2"/>
                <w:sz w:val="24"/>
                <w:lang w:val="zh-CN"/>
              </w:rPr>
              <w:t>正本一份、副本</w:t>
            </w:r>
            <w:r>
              <w:rPr>
                <w:rFonts w:hint="eastAsia" w:ascii="宋体" w:hAnsi="宋体" w:cs="仿宋_GB2312"/>
                <w:bCs/>
                <w:spacing w:val="2"/>
                <w:sz w:val="24"/>
                <w:u w:val="single"/>
                <w:lang w:val="zh-CN"/>
              </w:rPr>
              <w:t>二</w:t>
            </w:r>
            <w:r>
              <w:rPr>
                <w:rFonts w:hint="eastAsia" w:ascii="宋体" w:hAnsi="宋体" w:cs="仿宋_GB2312"/>
                <w:bCs/>
                <w:spacing w:val="2"/>
                <w:sz w:val="24"/>
                <w:lang w:val="zh-CN"/>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2265" w:hRule="exact"/>
          <w:jc w:val="center"/>
        </w:trPr>
        <w:tc>
          <w:tcPr>
            <w:tcW w:w="823"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spacing w:val="2"/>
                <w:sz w:val="24"/>
                <w:lang w:val="zh-CN"/>
              </w:rPr>
            </w:pPr>
            <w:r>
              <w:rPr>
                <w:rFonts w:hint="eastAsia" w:ascii="宋体" w:hAnsi="宋体" w:cs="仿宋_GB2312"/>
                <w:spacing w:val="2"/>
                <w:sz w:val="24"/>
                <w:lang w:val="zh-CN"/>
              </w:rPr>
              <w:t>4</w:t>
            </w:r>
          </w:p>
        </w:tc>
        <w:tc>
          <w:tcPr>
            <w:tcW w:w="8418"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仿宋_GB2312"/>
                <w:spacing w:val="2"/>
                <w:sz w:val="24"/>
                <w:lang w:val="zh-CN"/>
              </w:rPr>
            </w:pPr>
            <w:r>
              <w:rPr>
                <w:rFonts w:hint="eastAsia" w:ascii="宋体" w:hAnsi="宋体" w:cs="仿宋_GB2312"/>
                <w:spacing w:val="2"/>
                <w:sz w:val="24"/>
                <w:lang w:val="zh-CN"/>
              </w:rPr>
              <w:t xml:space="preserve">响应文件提交接收时间：2018年7 月18日 9:30          </w:t>
            </w:r>
          </w:p>
          <w:p>
            <w:pPr>
              <w:snapToGrid w:val="0"/>
              <w:spacing w:line="360" w:lineRule="auto"/>
              <w:rPr>
                <w:rFonts w:ascii="宋体" w:hAnsi="宋体" w:cs="仿宋_GB2312"/>
                <w:spacing w:val="2"/>
                <w:sz w:val="24"/>
                <w:lang w:val="zh-CN"/>
              </w:rPr>
            </w:pPr>
            <w:r>
              <w:rPr>
                <w:rFonts w:hint="eastAsia" w:ascii="宋体" w:hAnsi="宋体" w:cs="仿宋_GB2312"/>
                <w:spacing w:val="2"/>
                <w:sz w:val="24"/>
                <w:lang w:val="zh-CN"/>
              </w:rPr>
              <w:t xml:space="preserve">响应文件提交截止时间：2018年7 月18 日 9:30             </w:t>
            </w:r>
          </w:p>
          <w:p>
            <w:pPr>
              <w:snapToGrid w:val="0"/>
              <w:spacing w:line="360" w:lineRule="auto"/>
              <w:rPr>
                <w:rFonts w:ascii="宋体" w:hAnsi="宋体" w:cs="仿宋_GB2312"/>
                <w:sz w:val="24"/>
                <w:lang w:val="zh-CN"/>
              </w:rPr>
            </w:pPr>
            <w:r>
              <w:rPr>
                <w:rFonts w:hint="eastAsia" w:ascii="宋体" w:hAnsi="宋体" w:cs="仿宋_GB2312"/>
                <w:spacing w:val="2"/>
                <w:sz w:val="24"/>
                <w:lang w:val="zh-CN"/>
              </w:rPr>
              <w:t>响应文件提交地点：</w:t>
            </w:r>
            <w:r>
              <w:rPr>
                <w:rFonts w:hint="eastAsia" w:ascii="宋体" w:hAnsi="宋体" w:cs="仿宋_GB2312"/>
                <w:sz w:val="24"/>
                <w:lang w:val="zh-CN"/>
              </w:rPr>
              <w:t>常州中瑞工程造价咨询有限公司（常州市新北区通江中路229号友邦商务大厦A座13楼开标室）</w:t>
            </w:r>
          </w:p>
          <w:p>
            <w:pPr>
              <w:snapToGrid w:val="0"/>
              <w:spacing w:line="360" w:lineRule="auto"/>
              <w:rPr>
                <w:rFonts w:ascii="宋体" w:hAnsi="宋体"/>
                <w:spacing w:val="2"/>
                <w:sz w:val="24"/>
              </w:rPr>
            </w:pPr>
            <w:r>
              <w:rPr>
                <w:rFonts w:hint="eastAsia" w:ascii="宋体" w:hAnsi="宋体" w:cs="仿宋_GB2312"/>
                <w:spacing w:val="2"/>
                <w:sz w:val="24"/>
                <w:lang w:val="zh-CN"/>
              </w:rPr>
              <w:t xml:space="preserve">联系人：王萍  </w:t>
            </w:r>
          </w:p>
          <w:p>
            <w:pPr>
              <w:snapToGrid w:val="0"/>
              <w:spacing w:line="360" w:lineRule="auto"/>
              <w:rPr>
                <w:rFonts w:ascii="宋体" w:hAnsi="宋体"/>
                <w:sz w:val="24"/>
              </w:rPr>
            </w:pPr>
            <w:r>
              <w:rPr>
                <w:rFonts w:hint="eastAsia" w:ascii="宋体" w:hAnsi="宋体" w:cs="仿宋_GB2312"/>
                <w:spacing w:val="2"/>
                <w:sz w:val="24"/>
                <w:lang w:val="zh-CN"/>
              </w:rPr>
              <w:t xml:space="preserve">联系电话： </w:t>
            </w:r>
          </w:p>
          <w:p>
            <w:pPr>
              <w:snapToGrid w:val="0"/>
              <w:spacing w:line="360" w:lineRule="auto"/>
              <w:rPr>
                <w:rFonts w:ascii="宋体" w:hAnsi="宋体"/>
                <w:spacing w:val="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418" w:hRule="exact"/>
          <w:jc w:val="center"/>
        </w:trPr>
        <w:tc>
          <w:tcPr>
            <w:tcW w:w="823"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spacing w:val="2"/>
                <w:sz w:val="24"/>
                <w:lang w:val="zh-CN"/>
              </w:rPr>
            </w:pPr>
            <w:r>
              <w:rPr>
                <w:rFonts w:hint="eastAsia" w:ascii="宋体" w:hAnsi="宋体" w:cs="仿宋_GB2312"/>
                <w:spacing w:val="2"/>
                <w:sz w:val="24"/>
                <w:lang w:val="zh-CN"/>
              </w:rPr>
              <w:t>5</w:t>
            </w:r>
          </w:p>
          <w:p>
            <w:pPr>
              <w:snapToGrid w:val="0"/>
              <w:spacing w:line="360" w:lineRule="auto"/>
              <w:jc w:val="center"/>
              <w:rPr>
                <w:rFonts w:ascii="宋体" w:hAnsi="宋体" w:cs="仿宋_GB2312"/>
                <w:spacing w:val="2"/>
                <w:sz w:val="24"/>
                <w:lang w:val="zh-CN"/>
              </w:rPr>
            </w:pPr>
          </w:p>
        </w:tc>
        <w:tc>
          <w:tcPr>
            <w:tcW w:w="8418"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仿宋_GB2312"/>
                <w:spacing w:val="2"/>
                <w:sz w:val="24"/>
                <w:lang w:val="zh-CN"/>
              </w:rPr>
            </w:pPr>
            <w:r>
              <w:rPr>
                <w:rFonts w:hint="eastAsia" w:ascii="宋体" w:hAnsi="宋体" w:cs="仿宋_GB2312"/>
                <w:spacing w:val="2"/>
                <w:sz w:val="24"/>
                <w:lang w:val="zh-CN"/>
              </w:rPr>
              <w:t xml:space="preserve">谈判会议时间：2018年7 月18日 9:30   </w:t>
            </w:r>
          </w:p>
          <w:p>
            <w:pPr>
              <w:snapToGrid w:val="0"/>
              <w:spacing w:line="360" w:lineRule="auto"/>
              <w:rPr>
                <w:rFonts w:ascii="宋体" w:hAnsi="宋体"/>
                <w:spacing w:val="2"/>
                <w:sz w:val="24"/>
              </w:rPr>
            </w:pPr>
            <w:r>
              <w:rPr>
                <w:rFonts w:hint="eastAsia" w:ascii="宋体" w:hAnsi="宋体" w:cs="仿宋_GB2312"/>
                <w:spacing w:val="2"/>
                <w:sz w:val="24"/>
                <w:lang w:val="zh-CN"/>
              </w:rPr>
              <w:t>地　　点：：</w:t>
            </w:r>
            <w:r>
              <w:rPr>
                <w:rFonts w:hint="eastAsia" w:ascii="宋体" w:hAnsi="宋体" w:cs="仿宋_GB2312"/>
                <w:sz w:val="24"/>
                <w:lang w:val="zh-CN"/>
              </w:rPr>
              <w:t>常州中瑞工程造价咨询有限公司（常州市新北区通江中路229号友邦商务大厦A座13楼开标室）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1" w:hRule="atLeast"/>
          <w:jc w:val="center"/>
        </w:trPr>
        <w:tc>
          <w:tcPr>
            <w:tcW w:w="823"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spacing w:val="2"/>
                <w:sz w:val="24"/>
                <w:lang w:val="zh-CN"/>
              </w:rPr>
            </w:pPr>
            <w:r>
              <w:rPr>
                <w:rFonts w:hint="eastAsia" w:ascii="宋体" w:hAnsi="宋体" w:cs="仿宋_GB2312"/>
                <w:spacing w:val="2"/>
                <w:sz w:val="24"/>
                <w:lang w:val="zh-CN"/>
              </w:rPr>
              <w:t>6</w:t>
            </w:r>
          </w:p>
        </w:tc>
        <w:tc>
          <w:tcPr>
            <w:tcW w:w="8418" w:type="dxa"/>
            <w:tcBorders>
              <w:top w:val="single" w:color="auto" w:sz="4" w:space="0"/>
              <w:left w:val="single" w:color="auto" w:sz="4" w:space="0"/>
              <w:bottom w:val="single" w:color="auto" w:sz="4" w:space="0"/>
            </w:tcBorders>
            <w:vAlign w:val="center"/>
          </w:tcPr>
          <w:p>
            <w:pPr>
              <w:snapToGrid w:val="0"/>
              <w:spacing w:line="360" w:lineRule="auto"/>
              <w:rPr>
                <w:rFonts w:ascii="宋体" w:hAnsi="宋体"/>
                <w:spacing w:val="2"/>
                <w:sz w:val="24"/>
              </w:rPr>
            </w:pPr>
            <w:r>
              <w:rPr>
                <w:rFonts w:hint="eastAsia" w:ascii="宋体" w:hAnsi="宋体" w:cs="仿宋_GB2312"/>
                <w:spacing w:val="2"/>
                <w:sz w:val="24"/>
                <w:lang w:val="zh-CN"/>
              </w:rPr>
              <w:t>评审办法：最低评标价法（中标单位为最低价报名的两家单位）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03" w:hRule="exact"/>
          <w:jc w:val="center"/>
        </w:trPr>
        <w:tc>
          <w:tcPr>
            <w:tcW w:w="823"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spacing w:val="2"/>
                <w:sz w:val="24"/>
                <w:lang w:val="zh-CN"/>
              </w:rPr>
            </w:pPr>
            <w:r>
              <w:rPr>
                <w:rFonts w:hint="eastAsia" w:ascii="宋体" w:hAnsi="宋体" w:cs="仿宋_GB2312"/>
                <w:spacing w:val="2"/>
                <w:sz w:val="24"/>
                <w:lang w:val="zh-CN"/>
              </w:rPr>
              <w:t>7</w:t>
            </w:r>
          </w:p>
        </w:tc>
        <w:tc>
          <w:tcPr>
            <w:tcW w:w="8418"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仿宋_GB2312"/>
                <w:spacing w:val="2"/>
                <w:sz w:val="24"/>
                <w:u w:val="single"/>
                <w:lang w:val="zh-CN"/>
              </w:rPr>
            </w:pPr>
            <w:r>
              <w:rPr>
                <w:rFonts w:hint="eastAsia" w:ascii="宋体" w:hAnsi="宋体" w:cs="仿宋_GB2312"/>
                <w:spacing w:val="2"/>
                <w:sz w:val="24"/>
                <w:lang w:val="zh-CN"/>
              </w:rPr>
              <w:t>报价次数：</w:t>
            </w:r>
            <w:r>
              <w:rPr>
                <w:rFonts w:hint="eastAsia" w:ascii="宋体" w:hAnsi="宋体" w:cs="仿宋_GB2312"/>
                <w:color w:val="FF0000"/>
                <w:spacing w:val="2"/>
                <w:sz w:val="24"/>
                <w:u w:val="single"/>
                <w:lang w:val="zh-CN"/>
              </w:rPr>
              <w:t xml:space="preserve"> 2</w:t>
            </w:r>
            <w:r>
              <w:rPr>
                <w:rFonts w:hint="eastAsia" w:ascii="宋体" w:hAnsi="宋体" w:cs="仿宋_GB2312"/>
                <w:color w:val="FF0000"/>
                <w:spacing w:val="2"/>
                <w:sz w:val="24"/>
                <w:lang w:val="zh-CN"/>
              </w:rPr>
              <w:t>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03" w:hRule="exact"/>
          <w:jc w:val="center"/>
        </w:trPr>
        <w:tc>
          <w:tcPr>
            <w:tcW w:w="823"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spacing w:val="2"/>
                <w:sz w:val="24"/>
                <w:lang w:val="zh-CN"/>
              </w:rPr>
            </w:pPr>
            <w:r>
              <w:rPr>
                <w:rFonts w:hint="eastAsia" w:ascii="宋体" w:hAnsi="宋体" w:cs="仿宋_GB2312"/>
                <w:spacing w:val="2"/>
                <w:sz w:val="24"/>
                <w:lang w:val="zh-CN"/>
              </w:rPr>
              <w:t>8</w:t>
            </w:r>
          </w:p>
        </w:tc>
        <w:tc>
          <w:tcPr>
            <w:tcW w:w="8418" w:type="dxa"/>
            <w:tcBorders>
              <w:top w:val="single" w:color="auto" w:sz="4" w:space="0"/>
              <w:left w:val="single" w:color="auto" w:sz="4" w:space="0"/>
              <w:bottom w:val="single" w:color="auto" w:sz="4" w:space="0"/>
            </w:tcBorders>
            <w:vAlign w:val="center"/>
          </w:tcPr>
          <w:p>
            <w:pPr>
              <w:snapToGrid w:val="0"/>
              <w:spacing w:line="360" w:lineRule="auto"/>
              <w:rPr>
                <w:rFonts w:ascii="宋体" w:hAnsi="宋体"/>
                <w:b/>
                <w:bCs/>
                <w:sz w:val="24"/>
              </w:rPr>
            </w:pPr>
            <w:r>
              <w:rPr>
                <w:rFonts w:hint="eastAsia" w:ascii="宋体" w:hAnsi="宋体" w:cs="仿宋_GB2312"/>
                <w:spacing w:val="2"/>
                <w:sz w:val="24"/>
                <w:lang w:val="zh-CN"/>
              </w:rPr>
              <w:t>履约保证金：10000元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2062" w:hRule="exact"/>
          <w:jc w:val="center"/>
        </w:trPr>
        <w:tc>
          <w:tcPr>
            <w:tcW w:w="823"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spacing w:val="2"/>
                <w:sz w:val="24"/>
                <w:lang w:val="zh-CN"/>
              </w:rPr>
            </w:pPr>
            <w:r>
              <w:rPr>
                <w:rFonts w:hint="eastAsia" w:ascii="宋体" w:hAnsi="宋体" w:cs="仿宋_GB2312"/>
                <w:spacing w:val="2"/>
                <w:sz w:val="24"/>
                <w:lang w:val="zh-CN"/>
              </w:rPr>
              <w:t>9</w:t>
            </w:r>
          </w:p>
        </w:tc>
        <w:tc>
          <w:tcPr>
            <w:tcW w:w="8418"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napToGrid w:val="0"/>
              </w:rPr>
            </w:pPr>
            <w:r>
              <w:rPr>
                <w:rFonts w:hint="eastAsia" w:ascii="宋体" w:hAnsi="宋体" w:cs="宋体"/>
                <w:snapToGrid w:val="0"/>
              </w:rPr>
              <w:t>本项目的招标代理费及专家评委费由中标人支付:</w:t>
            </w:r>
          </w:p>
          <w:p>
            <w:pPr>
              <w:snapToGrid w:val="0"/>
              <w:spacing w:line="360" w:lineRule="auto"/>
              <w:rPr>
                <w:rFonts w:ascii="宋体" w:hAnsi="宋体" w:cs="仿宋_GB2312"/>
                <w:spacing w:val="2"/>
                <w:sz w:val="24"/>
                <w:lang w:val="zh-CN"/>
              </w:rPr>
            </w:pPr>
            <w:r>
              <w:rPr>
                <w:rFonts w:hint="eastAsia" w:ascii="宋体" w:hAnsi="宋体" w:cs="宋体"/>
                <w:snapToGrid w:val="0"/>
              </w:rPr>
              <w:t>招标代理费依据发改办价格[2003]857号文约定由中标人支付。招标代理费收费按《招标代理服务收费管理暂行办法》（国家计委计价格[2002]1980号相关规定标准计算，招标代理服务费收费按差额定率累进法计算；由中标人在取得中标通知前，向招标代理机构一次付清招标代理费。不足人民币3000元的，按人民币3000元收取。</w:t>
            </w:r>
          </w:p>
        </w:tc>
      </w:tr>
    </w:tbl>
    <w:p>
      <w:pPr>
        <w:snapToGrid w:val="0"/>
        <w:spacing w:line="360" w:lineRule="auto"/>
        <w:ind w:firstLine="397"/>
        <w:jc w:val="center"/>
        <w:rPr>
          <w:rFonts w:ascii="宋体" w:hAnsi="宋体"/>
          <w:b/>
          <w:sz w:val="48"/>
          <w:szCs w:val="44"/>
        </w:rPr>
      </w:pPr>
      <w:r>
        <w:rPr>
          <w:rFonts w:hint="eastAsia" w:ascii="宋体" w:hAnsi="宋体"/>
          <w:b/>
          <w:sz w:val="48"/>
          <w:szCs w:val="44"/>
        </w:rPr>
        <w:t>目    录</w:t>
      </w:r>
    </w:p>
    <w:p>
      <w:pPr>
        <w:pStyle w:val="39"/>
        <w:tabs>
          <w:tab w:val="right" w:leader="dot" w:pos="8296"/>
        </w:tabs>
        <w:rPr>
          <w:rFonts w:ascii="宋体" w:hAnsi="宋体"/>
          <w:b w:val="0"/>
          <w:bCs w:val="0"/>
          <w:caps w:val="0"/>
          <w:sz w:val="24"/>
          <w:szCs w:val="24"/>
        </w:rPr>
      </w:pPr>
      <w:r>
        <w:rPr>
          <w:rFonts w:ascii="宋体" w:hAnsi="宋体"/>
          <w:sz w:val="24"/>
          <w:szCs w:val="24"/>
        </w:rPr>
        <w:fldChar w:fldCharType="begin"/>
      </w:r>
      <w:r>
        <w:rPr>
          <w:rFonts w:hint="eastAsia" w:ascii="宋体" w:hAnsi="宋体"/>
          <w:sz w:val="24"/>
          <w:szCs w:val="24"/>
        </w:rPr>
        <w:instrText xml:space="preserve">TOC \o "1-1" \h \z \u</w:instrText>
      </w:r>
      <w:r>
        <w:rPr>
          <w:rFonts w:ascii="宋体" w:hAnsi="宋体"/>
          <w:sz w:val="24"/>
          <w:szCs w:val="24"/>
        </w:rPr>
        <w:fldChar w:fldCharType="separate"/>
      </w:r>
      <w:r>
        <w:fldChar w:fldCharType="begin"/>
      </w:r>
      <w:r>
        <w:instrText xml:space="preserve"> HYPERLINK \l "_Toc430158351" </w:instrText>
      </w:r>
      <w:r>
        <w:fldChar w:fldCharType="separate"/>
      </w:r>
      <w:r>
        <w:rPr>
          <w:rStyle w:val="56"/>
          <w:rFonts w:hint="eastAsia" w:ascii="宋体" w:hAnsi="宋体"/>
          <w:sz w:val="24"/>
          <w:szCs w:val="24"/>
        </w:rPr>
        <w:t>竞争性谈判公告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_Toc430158351 \h </w:instrText>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r>
        <w:rPr>
          <w:rFonts w:ascii="宋体" w:hAnsi="宋体"/>
          <w:sz w:val="24"/>
          <w:szCs w:val="24"/>
        </w:rPr>
        <w:fldChar w:fldCharType="end"/>
      </w:r>
    </w:p>
    <w:p>
      <w:pPr>
        <w:pStyle w:val="39"/>
        <w:tabs>
          <w:tab w:val="right" w:leader="dot" w:pos="8296"/>
        </w:tabs>
        <w:rPr>
          <w:rFonts w:ascii="宋体" w:hAnsi="宋体"/>
          <w:b w:val="0"/>
          <w:bCs w:val="0"/>
          <w:caps w:val="0"/>
          <w:sz w:val="24"/>
          <w:szCs w:val="24"/>
        </w:rPr>
      </w:pPr>
      <w:r>
        <w:fldChar w:fldCharType="begin"/>
      </w:r>
      <w:r>
        <w:instrText xml:space="preserve"> HYPERLINK \l "_Toc430158352" </w:instrText>
      </w:r>
      <w:r>
        <w:fldChar w:fldCharType="separate"/>
      </w:r>
      <w:r>
        <w:rPr>
          <w:rStyle w:val="56"/>
          <w:rFonts w:hint="eastAsia" w:ascii="宋体" w:hAnsi="宋体"/>
          <w:sz w:val="24"/>
          <w:szCs w:val="24"/>
        </w:rPr>
        <w:t>第一章总则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_Toc430158352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39"/>
        <w:tabs>
          <w:tab w:val="right" w:leader="dot" w:pos="8296"/>
        </w:tabs>
        <w:rPr>
          <w:rFonts w:ascii="宋体" w:hAnsi="宋体"/>
          <w:b w:val="0"/>
          <w:bCs w:val="0"/>
          <w:caps w:val="0"/>
          <w:sz w:val="24"/>
          <w:szCs w:val="24"/>
        </w:rPr>
      </w:pPr>
      <w:r>
        <w:fldChar w:fldCharType="begin"/>
      </w:r>
      <w:r>
        <w:instrText xml:space="preserve"> HYPERLINK \l "_Toc430158353" </w:instrText>
      </w:r>
      <w:r>
        <w:fldChar w:fldCharType="separate"/>
      </w:r>
      <w:r>
        <w:rPr>
          <w:rStyle w:val="56"/>
          <w:rFonts w:hint="eastAsia" w:ascii="宋体" w:hAnsi="宋体"/>
          <w:snapToGrid w:val="0"/>
          <w:spacing w:val="-6"/>
          <w:sz w:val="24"/>
          <w:szCs w:val="24"/>
        </w:rPr>
        <w:t>第二章响应文件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_Toc430158353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39"/>
        <w:tabs>
          <w:tab w:val="right" w:leader="dot" w:pos="8296"/>
        </w:tabs>
        <w:rPr>
          <w:rFonts w:ascii="宋体" w:hAnsi="宋体"/>
          <w:b w:val="0"/>
          <w:bCs w:val="0"/>
          <w:caps w:val="0"/>
          <w:sz w:val="24"/>
          <w:szCs w:val="24"/>
        </w:rPr>
      </w:pPr>
      <w:r>
        <w:fldChar w:fldCharType="begin"/>
      </w:r>
      <w:r>
        <w:instrText xml:space="preserve"> HYPERLINK \l "_Toc430158354" </w:instrText>
      </w:r>
      <w:r>
        <w:fldChar w:fldCharType="separate"/>
      </w:r>
      <w:r>
        <w:rPr>
          <w:rStyle w:val="56"/>
          <w:rFonts w:hint="eastAsia" w:ascii="宋体" w:hAnsi="宋体"/>
          <w:snapToGrid w:val="0"/>
          <w:spacing w:val="-6"/>
          <w:sz w:val="24"/>
          <w:szCs w:val="24"/>
        </w:rPr>
        <w:t>第三章响应文件密封和提交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_Toc430158354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Fonts w:ascii="宋体" w:hAnsi="宋体"/>
          <w:sz w:val="24"/>
          <w:szCs w:val="24"/>
        </w:rPr>
        <w:fldChar w:fldCharType="end"/>
      </w:r>
    </w:p>
    <w:p>
      <w:pPr>
        <w:pStyle w:val="39"/>
        <w:tabs>
          <w:tab w:val="right" w:leader="dot" w:pos="8296"/>
        </w:tabs>
        <w:rPr>
          <w:rFonts w:ascii="宋体" w:hAnsi="宋体"/>
          <w:b w:val="0"/>
          <w:bCs w:val="0"/>
          <w:caps w:val="0"/>
          <w:sz w:val="24"/>
          <w:szCs w:val="24"/>
        </w:rPr>
      </w:pPr>
      <w:r>
        <w:fldChar w:fldCharType="begin"/>
      </w:r>
      <w:r>
        <w:instrText xml:space="preserve"> HYPERLINK \l "_Toc430158355" </w:instrText>
      </w:r>
      <w:r>
        <w:fldChar w:fldCharType="separate"/>
      </w:r>
      <w:r>
        <w:rPr>
          <w:rStyle w:val="56"/>
          <w:rFonts w:hint="eastAsia" w:ascii="宋体" w:hAnsi="宋体"/>
          <w:sz w:val="24"/>
          <w:szCs w:val="24"/>
        </w:rPr>
        <w:t>第四章谈判报价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_Toc430158355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39"/>
        <w:tabs>
          <w:tab w:val="right" w:leader="dot" w:pos="8296"/>
        </w:tabs>
        <w:rPr>
          <w:rFonts w:ascii="宋体" w:hAnsi="宋体"/>
          <w:b w:val="0"/>
          <w:bCs w:val="0"/>
          <w:caps w:val="0"/>
          <w:sz w:val="24"/>
          <w:szCs w:val="24"/>
        </w:rPr>
      </w:pPr>
      <w:r>
        <w:fldChar w:fldCharType="begin"/>
      </w:r>
      <w:r>
        <w:instrText xml:space="preserve"> HYPERLINK \l "_Toc430158356" </w:instrText>
      </w:r>
      <w:r>
        <w:fldChar w:fldCharType="separate"/>
      </w:r>
      <w:r>
        <w:rPr>
          <w:rStyle w:val="56"/>
          <w:rFonts w:hint="eastAsia" w:ascii="宋体" w:hAnsi="宋体"/>
          <w:sz w:val="24"/>
          <w:szCs w:val="24"/>
        </w:rPr>
        <w:t>第五章谈判、评审、评定成交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_Toc430158356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39"/>
        <w:tabs>
          <w:tab w:val="right" w:leader="dot" w:pos="8296"/>
        </w:tabs>
        <w:rPr>
          <w:rFonts w:ascii="宋体" w:hAnsi="宋体"/>
          <w:b w:val="0"/>
          <w:bCs w:val="0"/>
          <w:caps w:val="0"/>
          <w:sz w:val="24"/>
          <w:szCs w:val="24"/>
        </w:rPr>
      </w:pPr>
      <w:r>
        <w:fldChar w:fldCharType="begin"/>
      </w:r>
      <w:r>
        <w:instrText xml:space="preserve"> HYPERLINK \l "_Toc430158357" </w:instrText>
      </w:r>
      <w:r>
        <w:fldChar w:fldCharType="separate"/>
      </w:r>
      <w:r>
        <w:rPr>
          <w:rStyle w:val="56"/>
          <w:rFonts w:hint="eastAsia" w:ascii="宋体" w:hAnsi="宋体"/>
          <w:sz w:val="24"/>
          <w:szCs w:val="24"/>
        </w:rPr>
        <w:t>第六章采购内容及要求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_Toc430158357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39"/>
        <w:tabs>
          <w:tab w:val="right" w:leader="dot" w:pos="8296"/>
        </w:tabs>
        <w:rPr>
          <w:rFonts w:ascii="宋体" w:hAnsi="宋体"/>
          <w:b w:val="0"/>
          <w:bCs w:val="0"/>
          <w:caps w:val="0"/>
          <w:sz w:val="24"/>
          <w:szCs w:val="24"/>
        </w:rPr>
      </w:pPr>
      <w:r>
        <w:fldChar w:fldCharType="begin"/>
      </w:r>
      <w:r>
        <w:instrText xml:space="preserve"> HYPERLINK \l "_Toc430158358" </w:instrText>
      </w:r>
      <w:r>
        <w:fldChar w:fldCharType="separate"/>
      </w:r>
      <w:r>
        <w:rPr>
          <w:rStyle w:val="56"/>
          <w:rFonts w:hint="eastAsia" w:ascii="宋体" w:hAnsi="宋体"/>
          <w:sz w:val="24"/>
          <w:szCs w:val="24"/>
        </w:rPr>
        <w:t>第七章格式附表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_Toc430158358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adjustRightInd w:val="0"/>
        <w:snapToGrid w:val="0"/>
        <w:spacing w:line="360" w:lineRule="auto"/>
        <w:ind w:firstLine="480" w:firstLineChars="200"/>
        <w:rPr>
          <w:rFonts w:ascii="宋体" w:hAnsi="宋体"/>
          <w:sz w:val="20"/>
          <w:szCs w:val="21"/>
        </w:rPr>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pPr>
      <w:r>
        <w:rPr>
          <w:rFonts w:ascii="宋体" w:hAnsi="宋体"/>
          <w:sz w:val="24"/>
        </w:rPr>
        <w:fldChar w:fldCharType="end"/>
      </w:r>
    </w:p>
    <w:p>
      <w:pPr>
        <w:adjustRightInd w:val="0"/>
        <w:snapToGrid w:val="0"/>
        <w:spacing w:line="360" w:lineRule="auto"/>
        <w:rPr>
          <w:rFonts w:ascii="宋体" w:hAnsi="宋体"/>
          <w:b/>
          <w:sz w:val="28"/>
        </w:rPr>
      </w:pPr>
    </w:p>
    <w:p>
      <w:pPr>
        <w:pStyle w:val="2"/>
        <w:numPr>
          <w:ilvl w:val="0"/>
          <w:numId w:val="0"/>
        </w:numPr>
        <w:snapToGrid w:val="0"/>
        <w:spacing w:line="360" w:lineRule="auto"/>
        <w:ind w:left="840" w:leftChars="400" w:firstLine="1590" w:firstLineChars="396"/>
        <w:jc w:val="both"/>
        <w:rPr>
          <w:rFonts w:ascii="宋体" w:hAnsi="宋体" w:eastAsia="宋体"/>
          <w:sz w:val="40"/>
        </w:rPr>
        <w:sectPr>
          <w:footerReference r:id="rId8" w:type="first"/>
          <w:footerReference r:id="rId7" w:type="default"/>
          <w:type w:val="continuous"/>
          <w:pgSz w:w="11906" w:h="16838"/>
          <w:pgMar w:top="1440" w:right="1800" w:bottom="1440" w:left="1800" w:header="851" w:footer="992" w:gutter="0"/>
          <w:pgNumType w:start="1"/>
          <w:cols w:space="720" w:num="1"/>
          <w:titlePg/>
          <w:docGrid w:type="lines" w:linePitch="312" w:charSpace="0"/>
        </w:sectPr>
      </w:pPr>
      <w:bookmarkStart w:id="0" w:name="_Toc288738792"/>
      <w:bookmarkStart w:id="1" w:name="_Toc288738324"/>
    </w:p>
    <w:p>
      <w:pPr>
        <w:pStyle w:val="2"/>
        <w:numPr>
          <w:ilvl w:val="0"/>
          <w:numId w:val="0"/>
        </w:numPr>
        <w:snapToGrid w:val="0"/>
        <w:spacing w:line="360" w:lineRule="auto"/>
        <w:rPr>
          <w:rFonts w:ascii="宋体" w:hAnsi="宋体" w:eastAsia="宋体"/>
          <w:sz w:val="48"/>
          <w:szCs w:val="48"/>
        </w:rPr>
      </w:pPr>
      <w:bookmarkStart w:id="2" w:name="_Toc430158351"/>
      <w:r>
        <w:rPr>
          <w:rFonts w:hint="eastAsia" w:ascii="宋体" w:hAnsi="宋体" w:eastAsia="宋体"/>
          <w:sz w:val="48"/>
          <w:szCs w:val="48"/>
        </w:rPr>
        <w:t>竞争性谈判采购公告</w:t>
      </w:r>
      <w:bookmarkEnd w:id="2"/>
    </w:p>
    <w:p>
      <w:pPr>
        <w:snapToGrid w:val="0"/>
        <w:jc w:val="center"/>
        <w:rPr>
          <w:rFonts w:ascii="宋体" w:hAnsi="宋体"/>
          <w:b/>
          <w:sz w:val="32"/>
          <w:szCs w:val="32"/>
        </w:rPr>
      </w:pPr>
      <w:r>
        <w:rPr>
          <w:rFonts w:hint="eastAsia" w:ascii="宋体" w:hAnsi="宋体"/>
          <w:b/>
          <w:sz w:val="32"/>
          <w:szCs w:val="32"/>
        </w:rPr>
        <w:t>城管网机电设备维修及定期保养劳务项目竞争性谈判</w:t>
      </w:r>
    </w:p>
    <w:p>
      <w:pPr>
        <w:snapToGrid w:val="0"/>
        <w:jc w:val="center"/>
        <w:rPr>
          <w:rFonts w:ascii="宋体" w:hAnsi="宋体"/>
          <w:b/>
          <w:sz w:val="32"/>
          <w:szCs w:val="32"/>
        </w:rPr>
      </w:pPr>
      <w:r>
        <w:rPr>
          <w:rFonts w:hint="eastAsia" w:ascii="宋体" w:hAnsi="宋体"/>
          <w:b/>
          <w:sz w:val="32"/>
          <w:szCs w:val="32"/>
        </w:rPr>
        <w:t>采购公告</w:t>
      </w:r>
    </w:p>
    <w:p>
      <w:pPr>
        <w:snapToGrid w:val="0"/>
        <w:jc w:val="center"/>
        <w:rPr>
          <w:rFonts w:ascii="宋体" w:hAnsi="宋体"/>
          <w:sz w:val="24"/>
        </w:rPr>
      </w:pPr>
    </w:p>
    <w:p>
      <w:pPr>
        <w:snapToGrid w:val="0"/>
        <w:jc w:val="center"/>
        <w:rPr>
          <w:rFonts w:ascii="宋体" w:hAnsi="宋体"/>
          <w:sz w:val="24"/>
        </w:rPr>
      </w:pPr>
      <w:r>
        <w:rPr>
          <w:rFonts w:hint="eastAsia" w:ascii="宋体" w:hAnsi="宋体"/>
          <w:sz w:val="24"/>
        </w:rPr>
        <w:t>ZRCG-20180604</w:t>
      </w:r>
    </w:p>
    <w:p>
      <w:pPr>
        <w:snapToGrid w:val="0"/>
        <w:jc w:val="center"/>
        <w:rPr>
          <w:rFonts w:ascii="宋体" w:hAnsi="宋体"/>
          <w:sz w:val="24"/>
        </w:rPr>
      </w:pPr>
    </w:p>
    <w:p>
      <w:pPr>
        <w:snapToGrid w:val="0"/>
        <w:jc w:val="center"/>
        <w:rPr>
          <w:rFonts w:ascii="宋体" w:hAnsi="宋体"/>
          <w:sz w:val="24"/>
        </w:rPr>
      </w:pPr>
    </w:p>
    <w:p>
      <w:pPr>
        <w:snapToGrid w:val="0"/>
        <w:ind w:firstLine="480" w:firstLineChars="200"/>
        <w:rPr>
          <w:rFonts w:ascii="宋体" w:hAnsi="宋体"/>
          <w:sz w:val="24"/>
        </w:rPr>
      </w:pPr>
      <w:r>
        <w:rPr>
          <w:rFonts w:hint="eastAsia" w:ascii="宋体" w:hAnsi="宋体"/>
          <w:sz w:val="24"/>
        </w:rPr>
        <w:t>常州中瑞工程造价咨询有限公司受常州市连城管道网络有限公司的委托，现就常州市连城管道网络有限公司机电设备维修及定期保养劳务项目进行竞争性谈判采购，有关事项公告如下：</w:t>
      </w:r>
    </w:p>
    <w:p>
      <w:pPr>
        <w:snapToGrid w:val="0"/>
        <w:ind w:firstLine="482" w:firstLineChars="200"/>
        <w:rPr>
          <w:rFonts w:ascii="宋体" w:hAnsi="宋体"/>
          <w:b/>
          <w:sz w:val="24"/>
        </w:rPr>
      </w:pPr>
      <w:r>
        <w:rPr>
          <w:rFonts w:hint="eastAsia" w:ascii="宋体" w:hAnsi="宋体"/>
          <w:b/>
          <w:bCs/>
          <w:sz w:val="24"/>
        </w:rPr>
        <w:t>一、</w:t>
      </w:r>
      <w:r>
        <w:rPr>
          <w:rFonts w:hint="eastAsia" w:ascii="宋体" w:hAnsi="宋体"/>
          <w:b/>
          <w:sz w:val="24"/>
        </w:rPr>
        <w:t>项目名称及编号</w:t>
      </w:r>
    </w:p>
    <w:p>
      <w:pPr>
        <w:ind w:left="480"/>
        <w:rPr>
          <w:rFonts w:ascii="宋体" w:hAnsi="宋体"/>
          <w:sz w:val="24"/>
        </w:rPr>
      </w:pPr>
      <w:r>
        <w:rPr>
          <w:rFonts w:hint="eastAsia" w:ascii="宋体" w:hAnsi="宋体"/>
          <w:sz w:val="24"/>
        </w:rPr>
        <w:t>项目名称：</w:t>
      </w:r>
      <w:r>
        <w:rPr>
          <w:rFonts w:hint="eastAsia" w:ascii="宋体" w:hAnsi="宋体"/>
          <w:color w:val="000000"/>
          <w:sz w:val="24"/>
        </w:rPr>
        <w:t>机电设备</w:t>
      </w:r>
      <w:r>
        <w:rPr>
          <w:rFonts w:hint="eastAsia" w:ascii="宋体" w:hAnsi="宋体"/>
          <w:bCs/>
          <w:color w:val="000000"/>
          <w:sz w:val="24"/>
        </w:rPr>
        <w:t>维修及定期保养</w:t>
      </w:r>
      <w:r>
        <w:rPr>
          <w:rFonts w:hint="eastAsia" w:ascii="宋体" w:hAnsi="宋体"/>
          <w:color w:val="000000"/>
          <w:sz w:val="24"/>
        </w:rPr>
        <w:t>服务</w:t>
      </w:r>
    </w:p>
    <w:p>
      <w:pPr>
        <w:snapToGrid w:val="0"/>
        <w:ind w:firstLine="480" w:firstLineChars="200"/>
        <w:rPr>
          <w:rFonts w:ascii="宋体" w:hAnsi="宋体"/>
          <w:spacing w:val="2"/>
          <w:sz w:val="24"/>
        </w:rPr>
      </w:pPr>
      <w:r>
        <w:rPr>
          <w:rFonts w:hint="eastAsia" w:ascii="宋体" w:hAnsi="宋体"/>
          <w:sz w:val="24"/>
        </w:rPr>
        <w:t>项目编号：ZRCG-20180604</w:t>
      </w:r>
    </w:p>
    <w:p>
      <w:pPr>
        <w:ind w:firstLine="483" w:firstLineChars="197"/>
        <w:rPr>
          <w:rFonts w:ascii="宋体" w:hAnsi="宋体"/>
          <w:b/>
          <w:spacing w:val="2"/>
          <w:sz w:val="24"/>
        </w:rPr>
      </w:pPr>
      <w:r>
        <w:rPr>
          <w:rFonts w:hint="eastAsia" w:ascii="宋体" w:hAnsi="宋体"/>
          <w:b/>
          <w:spacing w:val="2"/>
          <w:sz w:val="24"/>
        </w:rPr>
        <w:t xml:space="preserve">二、项目简要说明  </w:t>
      </w:r>
    </w:p>
    <w:p>
      <w:pPr>
        <w:snapToGrid w:val="0"/>
        <w:ind w:firstLine="480" w:firstLineChars="200"/>
        <w:rPr>
          <w:color w:val="FF0000"/>
          <w:sz w:val="24"/>
        </w:rPr>
      </w:pPr>
      <w:r>
        <w:rPr>
          <w:rFonts w:hint="eastAsia"/>
          <w:color w:val="FF0000"/>
          <w:sz w:val="24"/>
        </w:rPr>
        <w:t>常州市连城管道网络有限公司负责新北区部分城区及乡镇的排水管网，雨、污水处理厂及各类泵站等市政公共设施的运行维护和管理工作。近几年来，作为主要排水设备的机电设备维修及定期保养工作量日益增多，难度和复杂性日渐提升，为规范采购程序，不断提升设备维护水平，特对常州市连城管道网络有限公司管辖的机电设备维修及定期保养服务进行竞争性谈判。</w:t>
      </w:r>
    </w:p>
    <w:p>
      <w:pPr>
        <w:snapToGrid w:val="0"/>
        <w:ind w:firstLine="482" w:firstLineChars="200"/>
        <w:rPr>
          <w:rFonts w:ascii="宋体" w:hAnsi="宋体"/>
          <w:b/>
          <w:bCs/>
          <w:sz w:val="24"/>
        </w:rPr>
      </w:pPr>
      <w:r>
        <w:rPr>
          <w:rFonts w:hint="eastAsia" w:ascii="宋体" w:hAnsi="宋体"/>
          <w:b/>
          <w:bCs/>
          <w:sz w:val="24"/>
        </w:rPr>
        <w:t>三、供应商资格要求</w:t>
      </w:r>
    </w:p>
    <w:p>
      <w:pPr>
        <w:ind w:firstLine="480" w:firstLineChars="200"/>
        <w:rPr>
          <w:rFonts w:ascii="宋体" w:hAnsi="宋体"/>
          <w:sz w:val="24"/>
        </w:rPr>
      </w:pPr>
      <w:r>
        <w:rPr>
          <w:rFonts w:hint="eastAsia" w:ascii="宋体" w:hAnsi="宋体"/>
          <w:sz w:val="24"/>
        </w:rPr>
        <w:t>1、符合《政府采购法》第二十二条的规定；</w:t>
      </w:r>
    </w:p>
    <w:p>
      <w:pPr>
        <w:ind w:firstLine="480" w:firstLineChars="200"/>
        <w:rPr>
          <w:rFonts w:ascii="宋体" w:hAnsi="宋体"/>
          <w:color w:val="FF0000"/>
          <w:sz w:val="24"/>
        </w:rPr>
      </w:pPr>
      <w:r>
        <w:rPr>
          <w:rFonts w:hint="eastAsia" w:ascii="宋体" w:hAnsi="宋体"/>
          <w:color w:val="FF0000"/>
          <w:sz w:val="24"/>
        </w:rPr>
        <w:t>2、投标人须具有泰丰、克瑞丰球、斯别特、凯士比（KSB）、等品牌的潜水排污泵，各品牌减速机、电机设备、轴承等。自2015年以来维修数量总计超过30台的合同记录或用户证明（内容至少包含机电设备维修的时间、规格型号及数量），并提供相应的发票凭证；</w:t>
      </w:r>
    </w:p>
    <w:p>
      <w:pPr>
        <w:ind w:firstLine="480" w:firstLineChars="200"/>
        <w:rPr>
          <w:rFonts w:ascii="宋体" w:hAnsi="宋体"/>
          <w:color w:val="000000"/>
          <w:sz w:val="24"/>
        </w:rPr>
      </w:pPr>
      <w:r>
        <w:rPr>
          <w:rFonts w:hint="eastAsia" w:ascii="宋体" w:hAnsi="宋体"/>
          <w:color w:val="000000"/>
          <w:sz w:val="24"/>
        </w:rPr>
        <w:t>3、投标人须具有75KW（含）以上潜水排污泵自2015年以来维修数量超过5台（含）的维修业绩，提供相关合同记录或用户证明（内容至少包含机电设备维修的时间、规格型号及数量），并提供相应的发票凭证。</w:t>
      </w:r>
    </w:p>
    <w:p>
      <w:pPr>
        <w:ind w:firstLine="480" w:firstLineChars="200"/>
        <w:rPr>
          <w:rFonts w:ascii="宋体" w:hAnsi="宋体" w:cs="宋体"/>
          <w:bCs/>
          <w:sz w:val="24"/>
        </w:rPr>
      </w:pPr>
      <w:r>
        <w:rPr>
          <w:rFonts w:hint="eastAsia" w:ascii="宋体" w:hAnsi="宋体"/>
          <w:color w:val="000000"/>
          <w:sz w:val="24"/>
        </w:rPr>
        <w:t>4、</w:t>
      </w:r>
      <w:r>
        <w:rPr>
          <w:rFonts w:hint="eastAsia" w:ascii="宋体" w:hAnsi="宋体" w:cs="宋体"/>
          <w:bCs/>
          <w:sz w:val="24"/>
        </w:rPr>
        <w:t>投标人</w:t>
      </w:r>
      <w:r>
        <w:rPr>
          <w:rFonts w:hint="eastAsia" w:ascii="宋体" w:hAnsi="宋体"/>
          <w:color w:val="000000"/>
          <w:sz w:val="24"/>
        </w:rPr>
        <w:t>需提供已</w:t>
      </w:r>
      <w:r>
        <w:rPr>
          <w:rFonts w:hint="eastAsia" w:ascii="宋体" w:hAnsi="宋体" w:cs="宋体"/>
          <w:bCs/>
          <w:sz w:val="24"/>
        </w:rPr>
        <w:t>购买SKF轴承的有效发票复印件，开票日期为采购公告发布日起之后的无效；</w:t>
      </w:r>
    </w:p>
    <w:p>
      <w:pPr>
        <w:snapToGrid w:val="0"/>
        <w:ind w:firstLine="480" w:firstLineChars="200"/>
        <w:rPr>
          <w:rFonts w:ascii="宋体" w:hAnsi="宋体"/>
          <w:color w:val="000000"/>
          <w:sz w:val="24"/>
        </w:rPr>
      </w:pPr>
      <w:r>
        <w:rPr>
          <w:rFonts w:hint="eastAsia" w:ascii="宋体" w:hAnsi="宋体" w:cs="宋体"/>
          <w:bCs/>
          <w:sz w:val="24"/>
        </w:rPr>
        <w:t>5、</w:t>
      </w:r>
      <w:r>
        <w:rPr>
          <w:rFonts w:hint="eastAsia" w:ascii="宋体" w:hAnsi="宋体"/>
          <w:color w:val="000000"/>
          <w:sz w:val="24"/>
        </w:rPr>
        <w:t>本项目不接受以联合体形式参加投标。</w:t>
      </w:r>
    </w:p>
    <w:p>
      <w:pPr>
        <w:ind w:firstLine="482" w:firstLineChars="200"/>
        <w:rPr>
          <w:rFonts w:ascii="宋体" w:hAnsi="宋体"/>
          <w:b/>
          <w:sz w:val="24"/>
        </w:rPr>
      </w:pPr>
      <w:r>
        <w:rPr>
          <w:rFonts w:hint="eastAsia" w:ascii="宋体" w:hAnsi="宋体"/>
          <w:b/>
          <w:bCs/>
          <w:sz w:val="24"/>
        </w:rPr>
        <w:t>四、谈判</w:t>
      </w:r>
      <w:r>
        <w:rPr>
          <w:rFonts w:hint="eastAsia" w:ascii="宋体" w:hAnsi="宋体"/>
          <w:b/>
          <w:sz w:val="24"/>
        </w:rPr>
        <w:t>文件获取</w:t>
      </w:r>
    </w:p>
    <w:p>
      <w:pPr>
        <w:snapToGrid w:val="0"/>
        <w:ind w:firstLine="480" w:firstLineChars="200"/>
        <w:rPr>
          <w:rFonts w:ascii="宋体" w:hAnsi="宋体"/>
          <w:sz w:val="24"/>
        </w:rPr>
      </w:pPr>
      <w:r>
        <w:rPr>
          <w:rFonts w:hint="eastAsia" w:ascii="宋体" w:hAnsi="宋体"/>
          <w:sz w:val="24"/>
        </w:rPr>
        <w:t>谈判文件发售时间：2018年7月6日至 7月12日（8:30～17:00节假日除外）</w:t>
      </w:r>
    </w:p>
    <w:p>
      <w:pPr>
        <w:snapToGrid w:val="0"/>
        <w:ind w:firstLine="480" w:firstLineChars="200"/>
        <w:rPr>
          <w:rFonts w:ascii="宋体" w:hAnsi="宋体"/>
          <w:sz w:val="24"/>
        </w:rPr>
      </w:pPr>
      <w:r>
        <w:rPr>
          <w:rFonts w:hint="eastAsia" w:ascii="宋体" w:hAnsi="宋体"/>
          <w:sz w:val="24"/>
        </w:rPr>
        <w:t>谈判文件发售地点：常州中瑞工程造价咨询有限公司（常州市新北区通江中路229号友邦商务大夏A座13楼）</w:t>
      </w:r>
    </w:p>
    <w:p>
      <w:pPr>
        <w:snapToGrid w:val="0"/>
        <w:ind w:firstLine="480" w:firstLineChars="200"/>
        <w:rPr>
          <w:rFonts w:ascii="宋体" w:hAnsi="宋体"/>
          <w:sz w:val="24"/>
        </w:rPr>
      </w:pPr>
      <w:r>
        <w:rPr>
          <w:rFonts w:hint="eastAsia" w:ascii="宋体" w:hAnsi="宋体"/>
          <w:sz w:val="24"/>
        </w:rPr>
        <w:t>联系人：王萍</w:t>
      </w:r>
    </w:p>
    <w:p>
      <w:pPr>
        <w:snapToGrid w:val="0"/>
        <w:ind w:firstLine="480" w:firstLineChars="200"/>
        <w:rPr>
          <w:rFonts w:ascii="宋体" w:hAnsi="宋体"/>
          <w:sz w:val="24"/>
        </w:rPr>
      </w:pPr>
      <w:r>
        <w:rPr>
          <w:rFonts w:hint="eastAsia" w:ascii="宋体" w:hAnsi="宋体"/>
          <w:sz w:val="24"/>
        </w:rPr>
        <w:t>联系电话：0519-85606263</w:t>
      </w:r>
    </w:p>
    <w:p>
      <w:pPr>
        <w:snapToGrid w:val="0"/>
        <w:ind w:firstLine="480" w:firstLineChars="200"/>
        <w:rPr>
          <w:rFonts w:ascii="宋体" w:hAnsi="宋体"/>
          <w:sz w:val="24"/>
        </w:rPr>
      </w:pPr>
      <w:r>
        <w:rPr>
          <w:rFonts w:hint="eastAsia" w:ascii="宋体" w:hAnsi="宋体"/>
          <w:sz w:val="24"/>
        </w:rPr>
        <w:t>投标人报名时需提供资料（复印件一套加盖公章）：</w:t>
      </w:r>
    </w:p>
    <w:p>
      <w:pPr>
        <w:snapToGrid w:val="0"/>
        <w:ind w:firstLine="480" w:firstLineChars="200"/>
        <w:rPr>
          <w:rFonts w:ascii="宋体" w:hAnsi="宋体"/>
          <w:sz w:val="24"/>
        </w:rPr>
      </w:pPr>
      <w:r>
        <w:rPr>
          <w:rFonts w:hint="eastAsia" w:ascii="宋体" w:hAnsi="宋体"/>
          <w:sz w:val="24"/>
        </w:rPr>
        <w:t>（1）提供有效的企业营业执照副本、税务登记证副本和组织机构代码证副本（或三证合一的营业执照）；</w:t>
      </w:r>
    </w:p>
    <w:p>
      <w:pPr>
        <w:snapToGrid w:val="0"/>
        <w:ind w:firstLine="480" w:firstLineChars="200"/>
        <w:rPr>
          <w:rFonts w:ascii="宋体" w:hAnsi="宋体"/>
          <w:sz w:val="24"/>
        </w:rPr>
      </w:pPr>
      <w:r>
        <w:rPr>
          <w:rFonts w:hint="eastAsia" w:ascii="宋体" w:hAnsi="宋体"/>
          <w:sz w:val="24"/>
        </w:rPr>
        <w:t>（2）法人代表授权委托书，法人或受托人第二代身份证（提供本人第二代身份证及复印件）。</w:t>
      </w:r>
    </w:p>
    <w:p>
      <w:pPr>
        <w:snapToGrid w:val="0"/>
        <w:ind w:firstLine="480" w:firstLineChars="200"/>
        <w:rPr>
          <w:rFonts w:ascii="宋体" w:hAnsi="宋体"/>
          <w:sz w:val="24"/>
        </w:rPr>
      </w:pPr>
      <w:r>
        <w:rPr>
          <w:rFonts w:hint="eastAsia" w:ascii="宋体" w:hAnsi="宋体"/>
          <w:sz w:val="24"/>
        </w:rPr>
        <w:t>谈判文件售价：人民币500元整（发放招标文件时缴纳）</w:t>
      </w:r>
    </w:p>
    <w:p>
      <w:pPr>
        <w:snapToGrid w:val="0"/>
        <w:ind w:firstLine="480" w:firstLineChars="200"/>
        <w:rPr>
          <w:rFonts w:ascii="宋体" w:hAnsi="宋体"/>
          <w:sz w:val="24"/>
        </w:rPr>
      </w:pPr>
      <w:r>
        <w:rPr>
          <w:rFonts w:hint="eastAsia" w:ascii="宋体" w:hAnsi="宋体"/>
          <w:sz w:val="24"/>
        </w:rPr>
        <w:t>投标人对谈判文件如有疑问，请将疑问于2018年 7月13日上午11:00前以书面形式并加盖单位公章递交至常州中瑞工程造价咨询有限公司，否则视为无效疑问或澄清。</w:t>
      </w:r>
    </w:p>
    <w:p>
      <w:pPr>
        <w:snapToGrid w:val="0"/>
        <w:ind w:firstLine="482" w:firstLineChars="200"/>
        <w:rPr>
          <w:rFonts w:ascii="宋体" w:hAnsi="宋体"/>
          <w:sz w:val="24"/>
        </w:rPr>
      </w:pPr>
      <w:r>
        <w:rPr>
          <w:rFonts w:hint="eastAsia" w:ascii="宋体" w:hAnsi="宋体"/>
          <w:b/>
          <w:sz w:val="24"/>
        </w:rPr>
        <w:t>五、</w:t>
      </w:r>
      <w:r>
        <w:rPr>
          <w:rFonts w:hint="eastAsia" w:ascii="宋体" w:hAnsi="宋体" w:cs="宋体"/>
          <w:b/>
          <w:kern w:val="0"/>
          <w:sz w:val="24"/>
        </w:rPr>
        <w:t>投标保证金：</w:t>
      </w:r>
    </w:p>
    <w:p>
      <w:pPr>
        <w:snapToGrid w:val="0"/>
        <w:ind w:firstLine="480" w:firstLineChars="200"/>
        <w:rPr>
          <w:rFonts w:ascii="宋体" w:hAnsi="宋体"/>
          <w:sz w:val="24"/>
        </w:rPr>
      </w:pPr>
      <w:r>
        <w:rPr>
          <w:rFonts w:hint="eastAsia" w:ascii="宋体" w:hAnsi="宋体"/>
          <w:sz w:val="24"/>
        </w:rPr>
        <w:t>投标保证金数额：人民币 5000元整</w:t>
      </w:r>
    </w:p>
    <w:p>
      <w:pPr>
        <w:snapToGrid w:val="0"/>
        <w:ind w:firstLine="480" w:firstLineChars="200"/>
        <w:rPr>
          <w:rFonts w:ascii="宋体" w:hAnsi="宋体"/>
          <w:sz w:val="24"/>
        </w:rPr>
      </w:pPr>
      <w:r>
        <w:rPr>
          <w:rFonts w:hint="eastAsia" w:ascii="宋体" w:hAnsi="宋体"/>
          <w:sz w:val="24"/>
        </w:rPr>
        <w:t>投标保证金缴纳方式：以银行电汇或转账</w:t>
      </w:r>
    </w:p>
    <w:p>
      <w:pPr>
        <w:snapToGrid w:val="0"/>
        <w:ind w:firstLine="480" w:firstLineChars="200"/>
        <w:rPr>
          <w:rFonts w:ascii="宋体" w:hAnsi="宋体"/>
          <w:sz w:val="24"/>
        </w:rPr>
      </w:pPr>
      <w:r>
        <w:rPr>
          <w:rFonts w:hint="eastAsia" w:ascii="宋体" w:hAnsi="宋体"/>
          <w:sz w:val="24"/>
        </w:rPr>
        <w:t>收款单位：常州中瑞工程造价咨询有限公司</w:t>
      </w:r>
    </w:p>
    <w:p>
      <w:pPr>
        <w:snapToGrid w:val="0"/>
        <w:ind w:firstLine="480" w:firstLineChars="200"/>
        <w:rPr>
          <w:rFonts w:ascii="宋体" w:hAnsi="宋体"/>
          <w:sz w:val="24"/>
        </w:rPr>
      </w:pPr>
      <w:r>
        <w:rPr>
          <w:rFonts w:hint="eastAsia" w:ascii="宋体" w:hAnsi="宋体"/>
          <w:sz w:val="24"/>
        </w:rPr>
        <w:t>银行账号：8273204110701201000050058</w:t>
      </w:r>
    </w:p>
    <w:p>
      <w:pPr>
        <w:snapToGrid w:val="0"/>
        <w:ind w:firstLine="480" w:firstLineChars="200"/>
        <w:rPr>
          <w:rFonts w:ascii="宋体" w:hAnsi="宋体"/>
          <w:sz w:val="24"/>
        </w:rPr>
      </w:pPr>
      <w:r>
        <w:rPr>
          <w:rFonts w:hint="eastAsia" w:ascii="宋体" w:hAnsi="宋体"/>
          <w:sz w:val="24"/>
        </w:rPr>
        <w:t>开户银行：江南农商行常州高新区科技支行</w:t>
      </w:r>
    </w:p>
    <w:p>
      <w:pPr>
        <w:snapToGrid w:val="0"/>
        <w:ind w:firstLine="482" w:firstLineChars="200"/>
        <w:rPr>
          <w:rFonts w:ascii="宋体" w:hAnsi="宋体"/>
          <w:b/>
          <w:bCs/>
          <w:sz w:val="24"/>
        </w:rPr>
      </w:pPr>
      <w:r>
        <w:rPr>
          <w:rFonts w:hint="eastAsia" w:ascii="宋体" w:hAnsi="宋体"/>
          <w:b/>
          <w:bCs/>
          <w:sz w:val="24"/>
        </w:rPr>
        <w:t>六、</w:t>
      </w:r>
      <w:r>
        <w:rPr>
          <w:rFonts w:hint="eastAsia" w:ascii="宋体" w:hAnsi="宋体"/>
          <w:b/>
          <w:sz w:val="24"/>
        </w:rPr>
        <w:t>响应文件</w:t>
      </w:r>
      <w:r>
        <w:rPr>
          <w:rFonts w:hint="eastAsia" w:ascii="宋体" w:hAnsi="宋体"/>
          <w:b/>
          <w:bCs/>
          <w:sz w:val="24"/>
        </w:rPr>
        <w:t>提交及开标信息</w:t>
      </w:r>
    </w:p>
    <w:p>
      <w:pPr>
        <w:snapToGrid w:val="0"/>
        <w:ind w:firstLine="480" w:firstLineChars="200"/>
        <w:rPr>
          <w:rFonts w:ascii="宋体" w:hAnsi="宋体"/>
          <w:sz w:val="24"/>
        </w:rPr>
      </w:pPr>
      <w:r>
        <w:rPr>
          <w:rFonts w:hint="eastAsia" w:ascii="宋体" w:hAnsi="宋体"/>
          <w:sz w:val="24"/>
        </w:rPr>
        <w:t>响应文件提交时间：2018年</w:t>
      </w:r>
      <w:r>
        <w:rPr>
          <w:rFonts w:hint="eastAsia" w:ascii="宋体" w:hAnsi="宋体" w:cs="仿宋_GB2312"/>
          <w:spacing w:val="2"/>
          <w:sz w:val="24"/>
          <w:lang w:val="zh-CN"/>
        </w:rPr>
        <w:t>7月18日</w:t>
      </w:r>
    </w:p>
    <w:p>
      <w:pPr>
        <w:snapToGrid w:val="0"/>
        <w:ind w:firstLine="480" w:firstLineChars="200"/>
        <w:rPr>
          <w:rFonts w:ascii="宋体" w:hAnsi="宋体"/>
          <w:sz w:val="24"/>
        </w:rPr>
      </w:pPr>
      <w:r>
        <w:rPr>
          <w:rFonts w:hint="eastAsia" w:ascii="宋体" w:hAnsi="宋体"/>
          <w:sz w:val="24"/>
        </w:rPr>
        <w:t>响应文件提交截止暨开标时间：2018年</w:t>
      </w:r>
      <w:r>
        <w:rPr>
          <w:rFonts w:hint="eastAsia" w:ascii="宋体" w:hAnsi="宋体" w:cs="仿宋_GB2312"/>
          <w:spacing w:val="2"/>
          <w:sz w:val="24"/>
          <w:lang w:val="zh-CN"/>
        </w:rPr>
        <w:t>7月18日9:30</w:t>
      </w:r>
    </w:p>
    <w:p>
      <w:pPr>
        <w:snapToGrid w:val="0"/>
        <w:ind w:firstLine="480" w:firstLineChars="200"/>
        <w:rPr>
          <w:rFonts w:ascii="宋体" w:hAnsi="宋体"/>
          <w:sz w:val="24"/>
        </w:rPr>
      </w:pPr>
      <w:r>
        <w:rPr>
          <w:rFonts w:hint="eastAsia" w:ascii="宋体" w:hAnsi="宋体"/>
          <w:sz w:val="24"/>
        </w:rPr>
        <w:t>响应文件提交暨开标地点：常州中瑞工程造价咨询有限公司（常州市新北区通江中路229号友邦商务大夏A座13楼）</w:t>
      </w:r>
    </w:p>
    <w:p>
      <w:pPr>
        <w:tabs>
          <w:tab w:val="left" w:pos="3130"/>
        </w:tabs>
        <w:spacing w:line="360" w:lineRule="auto"/>
        <w:ind w:firstLine="457" w:firstLineChars="218"/>
        <w:rPr>
          <w:rFonts w:ascii="宋体" w:hAnsi="宋体"/>
          <w:color w:val="000000"/>
          <w:szCs w:val="21"/>
        </w:rPr>
      </w:pPr>
      <w:r>
        <w:rPr>
          <w:rFonts w:hint="eastAsia" w:ascii="宋体" w:hAnsi="宋体"/>
          <w:color w:val="000000"/>
          <w:szCs w:val="21"/>
        </w:rPr>
        <w:t>招标代理机构：常州中瑞工程造价咨询有限公司</w:t>
      </w:r>
    </w:p>
    <w:p>
      <w:pPr>
        <w:snapToGrid w:val="0"/>
        <w:ind w:firstLine="480" w:firstLineChars="200"/>
        <w:rPr>
          <w:rFonts w:ascii="宋体" w:hAnsi="宋体"/>
          <w:sz w:val="24"/>
        </w:rPr>
      </w:pPr>
      <w:r>
        <w:rPr>
          <w:rFonts w:hint="eastAsia" w:ascii="宋体" w:hAnsi="宋体"/>
          <w:sz w:val="24"/>
        </w:rPr>
        <w:t>联系地址：常州市新北区通江中路229号友邦商务大夏A座13楼</w:t>
      </w:r>
    </w:p>
    <w:p>
      <w:pPr>
        <w:snapToGrid w:val="0"/>
        <w:ind w:firstLine="480" w:firstLineChars="200"/>
        <w:rPr>
          <w:rFonts w:ascii="宋体" w:hAnsi="宋体"/>
          <w:sz w:val="24"/>
        </w:rPr>
      </w:pPr>
      <w:r>
        <w:rPr>
          <w:rFonts w:hint="eastAsia" w:ascii="宋体" w:hAnsi="宋体"/>
          <w:sz w:val="24"/>
        </w:rPr>
        <w:t>联系人：王萍</w:t>
      </w:r>
    </w:p>
    <w:p>
      <w:pPr>
        <w:snapToGrid w:val="0"/>
        <w:ind w:firstLine="480" w:firstLineChars="200"/>
        <w:rPr>
          <w:rFonts w:ascii="宋体" w:hAnsi="宋体"/>
          <w:sz w:val="24"/>
        </w:rPr>
      </w:pPr>
      <w:r>
        <w:rPr>
          <w:rFonts w:hint="eastAsia" w:ascii="宋体" w:hAnsi="宋体"/>
          <w:sz w:val="24"/>
        </w:rPr>
        <w:t xml:space="preserve">联系电话：0519-85606263 </w:t>
      </w:r>
    </w:p>
    <w:p>
      <w:pPr>
        <w:snapToGrid w:val="0"/>
        <w:ind w:firstLine="480" w:firstLineChars="200"/>
        <w:rPr>
          <w:rFonts w:ascii="宋体" w:hAnsi="宋体"/>
          <w:sz w:val="24"/>
        </w:rPr>
      </w:pPr>
      <w:r>
        <w:rPr>
          <w:rFonts w:hint="eastAsia" w:ascii="宋体" w:hAnsi="宋体"/>
          <w:sz w:val="24"/>
        </w:rPr>
        <w:t xml:space="preserve">联系传真：0519-85603579  </w:t>
      </w:r>
    </w:p>
    <w:p>
      <w:pPr>
        <w:snapToGrid w:val="0"/>
        <w:ind w:firstLine="480" w:firstLineChars="200"/>
        <w:rPr>
          <w:rFonts w:ascii="宋体" w:hAnsi="宋体"/>
          <w:sz w:val="24"/>
        </w:rPr>
      </w:pPr>
      <w:r>
        <w:rPr>
          <w:rFonts w:hint="eastAsia" w:ascii="宋体" w:hAnsi="宋体"/>
          <w:sz w:val="24"/>
        </w:rPr>
        <w:t>网    址：</w:t>
      </w:r>
      <w:r>
        <w:rPr>
          <w:rFonts w:ascii="宋体" w:hAnsi="宋体"/>
          <w:sz w:val="24"/>
        </w:rPr>
        <w:t>http://www.zhongruizx.com/index.asp</w:t>
      </w:r>
    </w:p>
    <w:p>
      <w:pPr>
        <w:snapToGrid w:val="0"/>
        <w:ind w:firstLine="480" w:firstLineChars="200"/>
        <w:rPr>
          <w:rFonts w:ascii="宋体" w:hAnsi="宋体"/>
          <w:sz w:val="24"/>
        </w:rPr>
      </w:pPr>
      <w:r>
        <w:rPr>
          <w:rFonts w:hint="eastAsia" w:ascii="宋体" w:hAnsi="宋体"/>
          <w:sz w:val="24"/>
        </w:rPr>
        <w:t>采购人名称：常州市连城管道网络有限公司</w:t>
      </w:r>
    </w:p>
    <w:p>
      <w:pPr>
        <w:snapToGrid w:val="0"/>
        <w:ind w:firstLine="480" w:firstLineChars="200"/>
        <w:rPr>
          <w:rFonts w:ascii="宋体" w:hAnsi="宋体"/>
          <w:sz w:val="24"/>
        </w:rPr>
      </w:pPr>
    </w:p>
    <w:p>
      <w:pPr>
        <w:wordWrap w:val="0"/>
        <w:snapToGrid w:val="0"/>
        <w:jc w:val="right"/>
        <w:rPr>
          <w:rFonts w:ascii="宋体" w:hAnsi="宋体"/>
          <w:sz w:val="24"/>
        </w:rPr>
      </w:pPr>
      <w:r>
        <w:rPr>
          <w:rFonts w:hint="eastAsia" w:ascii="宋体" w:hAnsi="宋体"/>
          <w:sz w:val="24"/>
        </w:rPr>
        <w:t>联系人：常州中瑞工程造价咨询有限公司</w:t>
      </w:r>
    </w:p>
    <w:p>
      <w:pPr>
        <w:wordWrap w:val="0"/>
        <w:snapToGrid w:val="0"/>
        <w:jc w:val="right"/>
        <w:rPr>
          <w:rFonts w:ascii="宋体" w:hAnsi="宋体"/>
        </w:rPr>
      </w:pPr>
      <w:r>
        <w:rPr>
          <w:rFonts w:hint="eastAsia" w:ascii="宋体" w:hAnsi="宋体"/>
          <w:sz w:val="24"/>
        </w:rPr>
        <w:t xml:space="preserve"> 2018年6月</w:t>
      </w:r>
    </w:p>
    <w:p>
      <w:pPr>
        <w:snapToGrid w:val="0"/>
        <w:ind w:firstLine="480" w:firstLineChars="200"/>
        <w:rPr>
          <w:rFonts w:ascii="宋体" w:hAnsi="宋体"/>
          <w:sz w:val="24"/>
        </w:rPr>
      </w:pPr>
    </w:p>
    <w:p>
      <w:pPr>
        <w:snapToGrid w:val="0"/>
        <w:spacing w:line="360" w:lineRule="auto"/>
        <w:ind w:firstLine="420" w:firstLineChars="200"/>
        <w:rPr>
          <w:rFonts w:ascii="宋体" w:hAnsi="宋体"/>
        </w:rPr>
      </w:pPr>
    </w:p>
    <w:p>
      <w:pPr>
        <w:pStyle w:val="2"/>
        <w:numPr>
          <w:ilvl w:val="0"/>
          <w:numId w:val="0"/>
        </w:numPr>
        <w:snapToGrid w:val="0"/>
        <w:spacing w:line="360" w:lineRule="auto"/>
        <w:ind w:left="840" w:leftChars="400" w:firstLine="1590" w:firstLineChars="396"/>
        <w:jc w:val="both"/>
        <w:rPr>
          <w:rFonts w:ascii="宋体" w:hAnsi="宋体" w:eastAsia="宋体"/>
          <w:sz w:val="40"/>
        </w:rPr>
      </w:pPr>
      <w:bookmarkStart w:id="3" w:name="_Toc430158352"/>
      <w:r>
        <w:rPr>
          <w:rFonts w:hint="eastAsia" w:ascii="宋体" w:hAnsi="宋体" w:eastAsia="宋体"/>
          <w:sz w:val="40"/>
        </w:rPr>
        <w:t>第一章   总  则</w:t>
      </w:r>
      <w:bookmarkEnd w:id="0"/>
      <w:bookmarkEnd w:id="1"/>
      <w:bookmarkEnd w:id="3"/>
    </w:p>
    <w:p>
      <w:pPr>
        <w:snapToGrid w:val="0"/>
        <w:spacing w:line="360" w:lineRule="auto"/>
        <w:ind w:firstLine="482" w:firstLineChars="200"/>
        <w:rPr>
          <w:rFonts w:ascii="宋体" w:hAnsi="宋体"/>
          <w:b/>
          <w:sz w:val="24"/>
        </w:rPr>
      </w:pPr>
      <w:r>
        <w:rPr>
          <w:rFonts w:hint="eastAsia" w:ascii="宋体" w:hAnsi="宋体"/>
          <w:b/>
          <w:sz w:val="24"/>
        </w:rPr>
        <w:t>一、采购项目：</w:t>
      </w:r>
    </w:p>
    <w:p>
      <w:pPr>
        <w:snapToGrid w:val="0"/>
        <w:ind w:firstLine="480" w:firstLineChars="200"/>
        <w:rPr>
          <w:color w:val="FF0000"/>
          <w:sz w:val="24"/>
        </w:rPr>
      </w:pPr>
      <w:r>
        <w:rPr>
          <w:rFonts w:hint="eastAsia"/>
          <w:color w:val="FF0000"/>
          <w:sz w:val="24"/>
        </w:rPr>
        <w:t>常州市连城管道网络有限公司负责新北区部分城区及乡镇的排水管网，雨、污水处理厂及各类泵站等市政公共设施的运行维护和管理工作。近几年来，作为主要排水设备的机电设备维修及定期保养工作量日益增多，难度和复杂性日渐提升，为规范采购程序，不断提升设备维护水平，特对常州市连城管道网络有限公司管辖的机电设备维修及定期保养服务进行竞争性谈判。</w:t>
      </w:r>
      <w:r>
        <w:rPr>
          <w:rFonts w:hint="eastAsia"/>
          <w:color w:val="FF0000"/>
          <w:sz w:val="24"/>
          <w:highlight w:val="yellow"/>
        </w:rPr>
        <w:t>本次计划采购两家劳务单位为我公司进行维修养护服务</w:t>
      </w:r>
      <w:r>
        <w:rPr>
          <w:rFonts w:hint="eastAsia"/>
          <w:color w:val="FF0000"/>
          <w:sz w:val="24"/>
        </w:rPr>
        <w:t>。</w:t>
      </w:r>
      <w:r>
        <w:rPr>
          <w:color w:val="FF0000"/>
          <w:sz w:val="24"/>
        </w:rPr>
        <w:t xml:space="preserve"> </w:t>
      </w:r>
    </w:p>
    <w:p>
      <w:pPr>
        <w:snapToGrid w:val="0"/>
        <w:spacing w:line="360" w:lineRule="auto"/>
        <w:ind w:firstLine="482" w:firstLineChars="200"/>
        <w:rPr>
          <w:rFonts w:ascii="宋体" w:hAnsi="宋体"/>
          <w:b/>
          <w:sz w:val="24"/>
        </w:rPr>
      </w:pPr>
      <w:r>
        <w:rPr>
          <w:rFonts w:hint="eastAsia" w:ascii="宋体" w:hAnsi="宋体"/>
          <w:b/>
          <w:sz w:val="24"/>
        </w:rPr>
        <w:t>二、供应商的资格要求：</w:t>
      </w:r>
    </w:p>
    <w:p>
      <w:pPr>
        <w:snapToGrid w:val="0"/>
        <w:ind w:firstLine="480" w:firstLineChars="200"/>
        <w:rPr>
          <w:rFonts w:ascii="宋体" w:hAnsi="宋体"/>
          <w:sz w:val="24"/>
        </w:rPr>
      </w:pPr>
      <w:r>
        <w:rPr>
          <w:rFonts w:hint="eastAsia" w:ascii="宋体" w:hAnsi="宋体"/>
          <w:sz w:val="24"/>
        </w:rPr>
        <w:t>见采购公告。</w:t>
      </w:r>
    </w:p>
    <w:p>
      <w:pPr>
        <w:snapToGrid w:val="0"/>
        <w:spacing w:line="360" w:lineRule="auto"/>
        <w:ind w:firstLine="482" w:firstLineChars="200"/>
        <w:rPr>
          <w:rFonts w:ascii="宋体" w:hAnsi="宋体"/>
          <w:b/>
          <w:sz w:val="24"/>
        </w:rPr>
      </w:pPr>
      <w:r>
        <w:rPr>
          <w:rFonts w:hint="eastAsia" w:ascii="宋体" w:hAnsi="宋体"/>
          <w:b/>
          <w:sz w:val="24"/>
        </w:rPr>
        <w:t>三、谈判费用</w:t>
      </w:r>
    </w:p>
    <w:p>
      <w:pPr>
        <w:snapToGrid w:val="0"/>
        <w:spacing w:line="360" w:lineRule="auto"/>
        <w:ind w:firstLine="480" w:firstLineChars="200"/>
        <w:rPr>
          <w:rFonts w:ascii="宋体" w:hAnsi="宋体"/>
          <w:sz w:val="24"/>
        </w:rPr>
      </w:pPr>
      <w:r>
        <w:rPr>
          <w:rFonts w:ascii="宋体" w:hAnsi="宋体"/>
          <w:sz w:val="24"/>
        </w:rPr>
        <w:t>供应商应自行承担其编制</w:t>
      </w:r>
      <w:r>
        <w:rPr>
          <w:rFonts w:hint="eastAsia" w:ascii="宋体" w:hAnsi="宋体"/>
          <w:sz w:val="24"/>
        </w:rPr>
        <w:t>、</w:t>
      </w:r>
      <w:r>
        <w:rPr>
          <w:rFonts w:ascii="宋体" w:hAnsi="宋体"/>
          <w:sz w:val="24"/>
        </w:rPr>
        <w:t>提交响应文件</w:t>
      </w:r>
      <w:r>
        <w:rPr>
          <w:rFonts w:hint="eastAsia" w:ascii="宋体" w:hAnsi="宋体"/>
          <w:sz w:val="24"/>
        </w:rPr>
        <w:t>以及</w:t>
      </w:r>
      <w:r>
        <w:rPr>
          <w:rFonts w:ascii="宋体" w:hAnsi="宋体"/>
          <w:sz w:val="24"/>
        </w:rPr>
        <w:t>参加招</w:t>
      </w:r>
      <w:r>
        <w:rPr>
          <w:rFonts w:hint="eastAsia" w:ascii="宋体" w:hAnsi="宋体"/>
          <w:sz w:val="24"/>
        </w:rPr>
        <w:t>竞争性谈判活动</w:t>
      </w:r>
      <w:r>
        <w:rPr>
          <w:rFonts w:ascii="宋体" w:hAnsi="宋体"/>
          <w:sz w:val="24"/>
        </w:rPr>
        <w:t>所产生之一切费用。</w:t>
      </w:r>
      <w:r>
        <w:rPr>
          <w:rFonts w:hint="eastAsia" w:ascii="宋体" w:hAnsi="宋体"/>
          <w:sz w:val="24"/>
        </w:rPr>
        <w:t>无论竞争性谈判活动中的做法和结果如何(包括采购单位决定取消采购的)</w:t>
      </w:r>
      <w:r>
        <w:rPr>
          <w:rFonts w:ascii="宋体" w:hAnsi="宋体"/>
          <w:sz w:val="24"/>
        </w:rPr>
        <w:t>，</w:t>
      </w:r>
      <w:r>
        <w:rPr>
          <w:rFonts w:hint="eastAsia" w:ascii="宋体" w:hAnsi="宋体"/>
          <w:sz w:val="24"/>
        </w:rPr>
        <w:t>采购人和集中采购机构</w:t>
      </w:r>
      <w:r>
        <w:rPr>
          <w:rFonts w:ascii="宋体" w:hAnsi="宋体"/>
          <w:sz w:val="24"/>
        </w:rPr>
        <w:t>对上述费用不负任何责任。</w:t>
      </w:r>
    </w:p>
    <w:p>
      <w:pPr>
        <w:snapToGrid w:val="0"/>
        <w:spacing w:line="360" w:lineRule="auto"/>
        <w:ind w:firstLine="482" w:firstLineChars="200"/>
        <w:rPr>
          <w:rFonts w:ascii="宋体" w:hAnsi="宋体"/>
          <w:b/>
          <w:sz w:val="24"/>
        </w:rPr>
      </w:pPr>
      <w:r>
        <w:rPr>
          <w:rFonts w:hint="eastAsia" w:ascii="宋体" w:hAnsi="宋体"/>
          <w:b/>
          <w:sz w:val="24"/>
        </w:rPr>
        <w:t>四、谈判文件</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谈判文件的组成 </w:t>
      </w:r>
    </w:p>
    <w:p>
      <w:pPr>
        <w:snapToGrid w:val="0"/>
        <w:spacing w:line="360" w:lineRule="auto"/>
        <w:ind w:firstLine="480" w:firstLineChars="200"/>
        <w:rPr>
          <w:rFonts w:ascii="宋体" w:hAnsi="宋体"/>
          <w:sz w:val="24"/>
        </w:rPr>
      </w:pPr>
      <w:r>
        <w:rPr>
          <w:rFonts w:ascii="宋体" w:hAnsi="宋体"/>
          <w:sz w:val="24"/>
        </w:rPr>
        <w:t>本文件及依法对本文件所作的书面</w:t>
      </w:r>
      <w:r>
        <w:rPr>
          <w:rFonts w:hint="eastAsia" w:ascii="宋体" w:hAnsi="宋体"/>
          <w:sz w:val="24"/>
        </w:rPr>
        <w:t>更正</w:t>
      </w:r>
      <w:r>
        <w:rPr>
          <w:rFonts w:ascii="宋体" w:hAnsi="宋体"/>
          <w:sz w:val="24"/>
        </w:rPr>
        <w:t>内容均为谈判文件的组成部分。</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、谈判文件的</w:t>
      </w:r>
      <w:r>
        <w:rPr>
          <w:rFonts w:hint="eastAsia" w:ascii="宋体" w:hAnsi="宋体"/>
          <w:sz w:val="24"/>
        </w:rPr>
        <w:t>更正</w:t>
      </w:r>
    </w:p>
    <w:p>
      <w:pPr>
        <w:snapToGrid w:val="0"/>
        <w:spacing w:line="360" w:lineRule="auto"/>
        <w:ind w:firstLine="480" w:firstLineChars="200"/>
        <w:rPr>
          <w:rFonts w:ascii="宋体" w:hAnsi="宋体"/>
          <w:sz w:val="24"/>
        </w:rPr>
      </w:pPr>
      <w:r>
        <w:rPr>
          <w:rFonts w:ascii="宋体" w:hAnsi="宋体"/>
          <w:sz w:val="24"/>
        </w:rPr>
        <w:t>供应商在收到谈判文件后，如有疑问需要澄清，应在答疑会议</w:t>
      </w:r>
      <w:r>
        <w:rPr>
          <w:rFonts w:hint="eastAsia" w:ascii="宋体" w:hAnsi="宋体"/>
          <w:sz w:val="24"/>
          <w:u w:val="single"/>
        </w:rPr>
        <w:t>1</w:t>
      </w:r>
      <w:r>
        <w:rPr>
          <w:rFonts w:ascii="宋体" w:hAnsi="宋体"/>
          <w:sz w:val="24"/>
        </w:rPr>
        <w:t>日前以书面形式向集中采购机构提出，如无疑问,视作供应商完全响应谈判文件的条款和要求。集中采购机构作出的澄清</w:t>
      </w:r>
      <w:r>
        <w:rPr>
          <w:rFonts w:hint="eastAsia" w:ascii="宋体" w:hAnsi="宋体"/>
          <w:sz w:val="24"/>
        </w:rPr>
        <w:t>或</w:t>
      </w:r>
      <w:r>
        <w:rPr>
          <w:rFonts w:ascii="宋体" w:hAnsi="宋体"/>
          <w:sz w:val="24"/>
        </w:rPr>
        <w:t>修改将公告通知所有谈判文件收受人。</w:t>
      </w:r>
    </w:p>
    <w:p>
      <w:pPr>
        <w:snapToGrid w:val="0"/>
        <w:spacing w:line="360" w:lineRule="auto"/>
        <w:ind w:firstLine="480" w:firstLineChars="200"/>
        <w:rPr>
          <w:rFonts w:ascii="宋体" w:hAnsi="宋体"/>
          <w:sz w:val="24"/>
        </w:rPr>
      </w:pPr>
      <w:r>
        <w:rPr>
          <w:rFonts w:ascii="宋体" w:hAnsi="宋体"/>
          <w:sz w:val="24"/>
        </w:rPr>
        <w:t>谈判文件各项条款最终解释权归常州中瑞工程造价咨询有限公司，供应商对集中采购机构提供的谈判文件所做出的推论、解释和结论，集中采购机构概不负责。供应商由于对谈判文件的任何推论和误解以及集中采购机构对有关问题的口头解释所造成的后果，均由供应商自负。</w:t>
      </w:r>
    </w:p>
    <w:p>
      <w:pPr>
        <w:snapToGrid w:val="0"/>
        <w:spacing w:line="360" w:lineRule="auto"/>
        <w:ind w:firstLine="480" w:firstLineChars="200"/>
        <w:rPr>
          <w:rFonts w:ascii="宋体" w:hAnsi="宋体"/>
          <w:sz w:val="24"/>
        </w:rPr>
      </w:pPr>
      <w:r>
        <w:rPr>
          <w:rFonts w:ascii="宋体" w:hAnsi="宋体"/>
          <w:sz w:val="24"/>
        </w:rPr>
        <w:t>集中采购机构有权对已发出的谈判文件进行必要的澄清或</w:t>
      </w:r>
      <w:r>
        <w:rPr>
          <w:rFonts w:hint="eastAsia" w:ascii="宋体" w:hAnsi="宋体"/>
          <w:sz w:val="24"/>
        </w:rPr>
        <w:t>修改</w:t>
      </w:r>
      <w:r>
        <w:rPr>
          <w:rFonts w:ascii="宋体" w:hAnsi="宋体"/>
          <w:sz w:val="24"/>
        </w:rPr>
        <w:t>，并</w:t>
      </w:r>
      <w:r>
        <w:rPr>
          <w:rFonts w:hint="eastAsia" w:ascii="宋体" w:hAnsi="宋体"/>
          <w:sz w:val="24"/>
        </w:rPr>
        <w:t>以更正</w:t>
      </w:r>
      <w:r>
        <w:rPr>
          <w:rFonts w:ascii="宋体" w:hAnsi="宋体"/>
          <w:sz w:val="24"/>
        </w:rPr>
        <w:t>公告</w:t>
      </w:r>
      <w:r>
        <w:rPr>
          <w:rFonts w:hint="eastAsia" w:ascii="宋体" w:hAnsi="宋体"/>
          <w:sz w:val="24"/>
        </w:rPr>
        <w:t>形式</w:t>
      </w:r>
      <w:r>
        <w:rPr>
          <w:rFonts w:ascii="宋体" w:hAnsi="宋体"/>
          <w:sz w:val="24"/>
        </w:rPr>
        <w:t>通知所有供应商。</w:t>
      </w:r>
    </w:p>
    <w:p>
      <w:pPr>
        <w:snapToGrid w:val="0"/>
        <w:spacing w:line="360" w:lineRule="auto"/>
        <w:ind w:firstLine="480" w:firstLineChars="200"/>
        <w:rPr>
          <w:rFonts w:ascii="宋体" w:hAnsi="宋体"/>
          <w:sz w:val="24"/>
        </w:rPr>
      </w:pPr>
      <w:r>
        <w:rPr>
          <w:rFonts w:ascii="宋体" w:hAnsi="宋体"/>
          <w:sz w:val="24"/>
        </w:rPr>
        <w:t>集中采购机构可视具体情况，延长响应文件提交截止时间和</w:t>
      </w:r>
      <w:r>
        <w:rPr>
          <w:rFonts w:hint="eastAsia" w:ascii="宋体" w:hAnsi="宋体"/>
          <w:sz w:val="24"/>
        </w:rPr>
        <w:t>谈判</w:t>
      </w:r>
      <w:r>
        <w:rPr>
          <w:rFonts w:ascii="宋体" w:hAnsi="宋体"/>
          <w:sz w:val="24"/>
        </w:rPr>
        <w:t>时间，并将此变更</w:t>
      </w:r>
      <w:r>
        <w:rPr>
          <w:rFonts w:hint="eastAsia" w:ascii="宋体" w:hAnsi="宋体"/>
          <w:sz w:val="24"/>
        </w:rPr>
        <w:t>以</w:t>
      </w:r>
      <w:r>
        <w:rPr>
          <w:rFonts w:ascii="宋体" w:hAnsi="宋体"/>
          <w:sz w:val="24"/>
        </w:rPr>
        <w:t>公告</w:t>
      </w:r>
      <w:r>
        <w:rPr>
          <w:rFonts w:hint="eastAsia" w:ascii="宋体" w:hAnsi="宋体"/>
          <w:sz w:val="24"/>
        </w:rPr>
        <w:t>形式</w:t>
      </w:r>
      <w:r>
        <w:rPr>
          <w:rFonts w:ascii="宋体" w:hAnsi="宋体"/>
          <w:sz w:val="24"/>
        </w:rPr>
        <w:t>通知所有谈判文件收受人。</w:t>
      </w:r>
    </w:p>
    <w:p>
      <w:pPr>
        <w:snapToGrid w:val="0"/>
        <w:spacing w:line="360" w:lineRule="auto"/>
        <w:ind w:firstLine="480" w:firstLineChars="200"/>
        <w:rPr>
          <w:rFonts w:ascii="宋体" w:hAnsi="宋体"/>
          <w:sz w:val="24"/>
        </w:rPr>
      </w:pPr>
      <w:r>
        <w:rPr>
          <w:rFonts w:ascii="宋体" w:hAnsi="宋体"/>
          <w:sz w:val="24"/>
        </w:rPr>
        <w:t>公告通知以</w:t>
      </w:r>
      <w:r>
        <w:rPr>
          <w:rFonts w:hint="eastAsia" w:ascii="宋体" w:hAnsi="宋体"/>
          <w:sz w:val="24"/>
        </w:rPr>
        <w:t>江苏省政府采购网和</w:t>
      </w:r>
      <w:r>
        <w:rPr>
          <w:rFonts w:ascii="宋体" w:hAnsi="宋体"/>
          <w:sz w:val="24"/>
        </w:rPr>
        <w:t>常州</w:t>
      </w:r>
      <w:r>
        <w:rPr>
          <w:rFonts w:hint="eastAsia" w:ascii="宋体" w:hAnsi="宋体"/>
          <w:sz w:val="24"/>
        </w:rPr>
        <w:t>市</w:t>
      </w:r>
      <w:r>
        <w:rPr>
          <w:rFonts w:ascii="宋体" w:hAnsi="宋体"/>
          <w:sz w:val="24"/>
        </w:rPr>
        <w:t>政府采购网所发布的为准。</w:t>
      </w:r>
    </w:p>
    <w:p>
      <w:pPr>
        <w:snapToGrid w:val="0"/>
        <w:spacing w:line="360" w:lineRule="auto"/>
        <w:ind w:firstLine="482" w:firstLineChars="200"/>
        <w:rPr>
          <w:rFonts w:ascii="宋体" w:hAnsi="宋体"/>
          <w:b/>
          <w:sz w:val="24"/>
        </w:rPr>
      </w:pPr>
      <w:r>
        <w:rPr>
          <w:rFonts w:hint="eastAsia" w:ascii="宋体" w:hAnsi="宋体"/>
          <w:b/>
          <w:sz w:val="24"/>
        </w:rPr>
        <w:t>五、供应商的义务</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、供应商应当认真阅读谈判文件，完全明了</w:t>
      </w:r>
      <w:r>
        <w:rPr>
          <w:rFonts w:hint="eastAsia" w:ascii="宋体" w:hAnsi="宋体"/>
          <w:sz w:val="24"/>
        </w:rPr>
        <w:t>采购</w:t>
      </w:r>
      <w:r>
        <w:rPr>
          <w:rFonts w:ascii="宋体" w:hAnsi="宋体"/>
          <w:sz w:val="24"/>
        </w:rPr>
        <w:t>项目之名称、用途、数量、质量和交货日期，完全明了供应商所应具备的资格条件。</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、供应商应当按照谈判文件的要求编制响应文件。响应文件应对谈判文件提出的实质性要求和条件作出完全响应。</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、供应商应在响应文件提交截止时间前，将密封的响应文件送达</w:t>
      </w:r>
      <w:r>
        <w:rPr>
          <w:rFonts w:hint="eastAsia" w:ascii="宋体" w:hAnsi="宋体"/>
          <w:sz w:val="24"/>
        </w:rPr>
        <w:t>指定</w:t>
      </w:r>
      <w:r>
        <w:rPr>
          <w:rFonts w:ascii="宋体" w:hAnsi="宋体"/>
          <w:sz w:val="24"/>
        </w:rPr>
        <w:t>地点。</w:t>
      </w:r>
    </w:p>
    <w:p>
      <w:pPr>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、供应商不得相互串通谈判报价，不得排挤其他供应商的公平竞争，损害</w:t>
      </w:r>
      <w:r>
        <w:rPr>
          <w:rFonts w:hint="eastAsia" w:ascii="宋体" w:hAnsi="宋体"/>
          <w:sz w:val="24"/>
        </w:rPr>
        <w:t>采购</w:t>
      </w:r>
      <w:r>
        <w:rPr>
          <w:rFonts w:ascii="宋体" w:hAnsi="宋体"/>
          <w:sz w:val="24"/>
        </w:rPr>
        <w:t>人或者其他供应商合法权益。供应商不得与</w:t>
      </w:r>
      <w:r>
        <w:rPr>
          <w:rFonts w:hint="eastAsia" w:ascii="宋体" w:hAnsi="宋体"/>
          <w:sz w:val="24"/>
        </w:rPr>
        <w:t>采购</w:t>
      </w:r>
      <w:r>
        <w:rPr>
          <w:rFonts w:ascii="宋体" w:hAnsi="宋体"/>
          <w:sz w:val="24"/>
        </w:rPr>
        <w:t>人串通，损害国家利益，公众利益或者他人的合法权益。</w:t>
      </w:r>
    </w:p>
    <w:p>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、供应商在响应文件提交截止时间前，对所提交的响应文件可以补充、修改或者撤回，并书面通知集中采购机构。补充、修改的内容为响应文件的组成部分。</w:t>
      </w:r>
    </w:p>
    <w:p>
      <w:pPr>
        <w:adjustRightInd w:val="0"/>
        <w:snapToGrid w:val="0"/>
        <w:spacing w:line="360" w:lineRule="auto"/>
        <w:ind w:firstLine="397"/>
        <w:jc w:val="center"/>
        <w:rPr>
          <w:rFonts w:ascii="宋体" w:hAnsi="宋体"/>
          <w:b/>
          <w:snapToGrid w:val="0"/>
          <w:spacing w:val="-6"/>
          <w:kern w:val="0"/>
          <w:sz w:val="22"/>
        </w:rPr>
      </w:pPr>
    </w:p>
    <w:p>
      <w:pPr>
        <w:pStyle w:val="2"/>
        <w:numPr>
          <w:ilvl w:val="0"/>
          <w:numId w:val="0"/>
        </w:numPr>
        <w:snapToGrid w:val="0"/>
        <w:spacing w:line="360" w:lineRule="auto"/>
        <w:rPr>
          <w:rFonts w:ascii="宋体" w:hAnsi="宋体" w:eastAsia="宋体"/>
          <w:snapToGrid w:val="0"/>
          <w:spacing w:val="-6"/>
          <w:sz w:val="40"/>
          <w:szCs w:val="44"/>
        </w:rPr>
      </w:pPr>
      <w:bookmarkStart w:id="4" w:name="_Toc288738330"/>
      <w:bookmarkStart w:id="5" w:name="_Toc288738798"/>
      <w:bookmarkStart w:id="6" w:name="_Toc430158353"/>
      <w:r>
        <w:rPr>
          <w:rFonts w:hint="eastAsia" w:ascii="宋体" w:hAnsi="宋体" w:eastAsia="宋体"/>
          <w:snapToGrid w:val="0"/>
          <w:spacing w:val="-6"/>
          <w:sz w:val="40"/>
          <w:szCs w:val="44"/>
        </w:rPr>
        <w:t>第二章 响应文件</w:t>
      </w:r>
      <w:bookmarkEnd w:id="4"/>
      <w:bookmarkEnd w:id="5"/>
      <w:bookmarkEnd w:id="6"/>
    </w:p>
    <w:p>
      <w:pPr>
        <w:snapToGrid w:val="0"/>
        <w:spacing w:line="360" w:lineRule="auto"/>
        <w:ind w:firstLine="482" w:firstLineChars="200"/>
        <w:rPr>
          <w:rFonts w:ascii="宋体" w:hAnsi="宋体"/>
          <w:b/>
          <w:sz w:val="24"/>
        </w:rPr>
      </w:pPr>
      <w:bookmarkStart w:id="7" w:name="_Toc288738799"/>
      <w:bookmarkStart w:id="8" w:name="_Toc288738331"/>
      <w:bookmarkStart w:id="9" w:name="_Toc288738405"/>
      <w:r>
        <w:rPr>
          <w:rFonts w:hint="eastAsia" w:ascii="宋体" w:hAnsi="宋体"/>
          <w:b/>
          <w:sz w:val="24"/>
        </w:rPr>
        <w:t>六、响应文件组成</w:t>
      </w:r>
      <w:bookmarkEnd w:id="7"/>
      <w:bookmarkEnd w:id="8"/>
      <w:bookmarkEnd w:id="9"/>
    </w:p>
    <w:p>
      <w:pPr>
        <w:snapToGrid w:val="0"/>
        <w:spacing w:line="360" w:lineRule="auto"/>
        <w:ind w:firstLine="480" w:firstLineChars="200"/>
        <w:rPr>
          <w:rFonts w:ascii="宋体" w:hAnsi="宋体"/>
          <w:sz w:val="24"/>
        </w:rPr>
      </w:pPr>
      <w:r>
        <w:rPr>
          <w:rFonts w:ascii="宋体" w:hAnsi="宋体"/>
          <w:sz w:val="24"/>
        </w:rPr>
        <w:t>一式</w:t>
      </w:r>
      <w:r>
        <w:rPr>
          <w:rFonts w:hint="eastAsia" w:ascii="宋体" w:hAnsi="宋体"/>
          <w:sz w:val="24"/>
          <w:u w:val="single"/>
        </w:rPr>
        <w:t>三</w:t>
      </w:r>
      <w:r>
        <w:rPr>
          <w:rFonts w:ascii="宋体" w:hAnsi="宋体"/>
          <w:sz w:val="24"/>
        </w:rPr>
        <w:t>份，一份正本，</w:t>
      </w:r>
      <w:r>
        <w:rPr>
          <w:rFonts w:hint="eastAsia" w:ascii="宋体" w:hAnsi="宋体"/>
          <w:sz w:val="24"/>
          <w:u w:val="single"/>
        </w:rPr>
        <w:t>二</w:t>
      </w:r>
      <w:r>
        <w:rPr>
          <w:rFonts w:ascii="宋体" w:hAnsi="宋体"/>
          <w:sz w:val="24"/>
        </w:rPr>
        <w:t>份副本。响应文件应当符合谈判文件的要求，并应包括但不限于下列内容。</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供应商</w:t>
      </w:r>
      <w:r>
        <w:rPr>
          <w:rFonts w:ascii="宋体" w:hAnsi="宋体"/>
          <w:sz w:val="24"/>
        </w:rPr>
        <w:t>情况说明：</w:t>
      </w:r>
    </w:p>
    <w:p>
      <w:pPr>
        <w:snapToGrid w:val="0"/>
        <w:spacing w:line="360" w:lineRule="auto"/>
        <w:ind w:firstLine="480" w:firstLineChars="200"/>
        <w:rPr>
          <w:rFonts w:ascii="宋体" w:hAnsi="宋体"/>
          <w:sz w:val="24"/>
        </w:rPr>
      </w:pPr>
      <w:r>
        <w:rPr>
          <w:rFonts w:hint="eastAsia" w:ascii="宋体" w:hAnsi="宋体"/>
          <w:sz w:val="24"/>
        </w:rPr>
        <w:t>供应商简介（含供应商规模、银行资信、技术能力及装备水平等）、人员情况、典型项目介绍</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b/>
          <w:sz w:val="24"/>
        </w:rPr>
        <w:t>供应商资格审查材料，</w:t>
      </w:r>
      <w:r>
        <w:rPr>
          <w:rFonts w:hint="eastAsia" w:ascii="宋体" w:hAnsi="宋体"/>
          <w:b/>
          <w:bCs/>
          <w:sz w:val="24"/>
        </w:rPr>
        <w:t>证明供应商符合资格要求的证明材料包括但不限于以下材料（所有项目若有缺失或无效将可能导致无效响应且不允许在响应文件提交截止后补正，否则视作无效响应）：</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投标函（附件一）；</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法定代表人资格证明书（附件二），授权委托书（附件三），投标人法定代表人或者委托代理人的身份证；</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有效的营业执照（事业单位的可提供组织机构代码证）；</w:t>
      </w:r>
    </w:p>
    <w:p>
      <w:pPr>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有效的税务登记证；</w:t>
      </w:r>
    </w:p>
    <w:p>
      <w:pPr>
        <w:snapToGrid w:val="0"/>
        <w:spacing w:line="360" w:lineRule="auto"/>
        <w:ind w:firstLine="480" w:firstLineChars="200"/>
        <w:rPr>
          <w:rFonts w:ascii="宋体" w:hAnsi="宋体"/>
          <w:color w:val="FF0000"/>
          <w:sz w:val="24"/>
        </w:rPr>
      </w:pPr>
      <w:r>
        <w:rPr>
          <w:rFonts w:hint="eastAsia" w:ascii="宋体" w:hAnsi="宋体"/>
          <w:sz w:val="24"/>
        </w:rPr>
        <w:t>5</w:t>
      </w:r>
      <w:r>
        <w:rPr>
          <w:rFonts w:ascii="宋体" w:hAnsi="宋体"/>
          <w:sz w:val="24"/>
        </w:rPr>
        <w:t>）</w:t>
      </w:r>
      <w:r>
        <w:rPr>
          <w:rFonts w:hint="eastAsia" w:ascii="宋体" w:hAnsi="宋体"/>
          <w:color w:val="FF0000"/>
          <w:sz w:val="24"/>
        </w:rPr>
        <w:t>具有泰丰、克瑞丰球、凯士比（KSB）、亚太、飞力（FLYGT）这五类品牌的潜水排污泵自2012年以来维修数量总计超过30台的合同记录或用户证明（内容至少包含机电设备维修的时间、规格型号及数量），并提供相应的发票凭证（原件备查）；</w:t>
      </w:r>
    </w:p>
    <w:p>
      <w:pPr>
        <w:snapToGrid w:val="0"/>
        <w:spacing w:line="360" w:lineRule="auto"/>
        <w:ind w:firstLine="480" w:firstLineChars="200"/>
        <w:rPr>
          <w:rFonts w:ascii="宋体" w:hAnsi="宋体"/>
          <w:color w:val="FF0000"/>
          <w:sz w:val="24"/>
        </w:rPr>
      </w:pPr>
      <w:r>
        <w:rPr>
          <w:rFonts w:hint="eastAsia" w:ascii="宋体" w:hAnsi="宋体"/>
          <w:color w:val="FF0000"/>
          <w:sz w:val="24"/>
        </w:rPr>
        <w:t>6）具有75KW（含）以上潜水排污泵自2012年以来维修数量超过5台（含）的维修业绩，提供相关合同记录或用户证明（内容至少包含机电设备维修的时间、规格型号及数量），并提供相应的发票凭证；</w:t>
      </w:r>
    </w:p>
    <w:p>
      <w:pPr>
        <w:snapToGrid w:val="0"/>
        <w:spacing w:line="360" w:lineRule="auto"/>
        <w:ind w:firstLine="480" w:firstLineChars="200"/>
        <w:rPr>
          <w:rFonts w:ascii="宋体" w:hAnsi="宋体"/>
          <w:color w:val="FF0000"/>
          <w:sz w:val="24"/>
        </w:rPr>
      </w:pPr>
      <w:r>
        <w:rPr>
          <w:rFonts w:hint="eastAsia" w:ascii="宋体" w:hAnsi="宋体" w:cs="宋体"/>
          <w:bCs/>
          <w:color w:val="FF0000"/>
          <w:sz w:val="24"/>
        </w:rPr>
        <w:t>7）投标人需提供已购买SKF轴承的有效发票复印件（原件备查），开票日期为采购公告发布日起的无效；</w:t>
      </w:r>
    </w:p>
    <w:p>
      <w:pPr>
        <w:snapToGrid w:val="0"/>
        <w:spacing w:line="360" w:lineRule="auto"/>
        <w:ind w:firstLine="480" w:firstLineChars="200"/>
        <w:rPr>
          <w:rFonts w:ascii="宋体" w:hAnsi="宋体"/>
          <w:sz w:val="24"/>
        </w:rPr>
      </w:pPr>
      <w:r>
        <w:rPr>
          <w:rFonts w:hint="eastAsia" w:ascii="宋体" w:hAnsi="宋体"/>
          <w:sz w:val="24"/>
        </w:rPr>
        <w:t>8）投标人资格要求涉及的其它证明材料。</w:t>
      </w:r>
    </w:p>
    <w:p>
      <w:pPr>
        <w:snapToGrid w:val="0"/>
        <w:spacing w:line="360" w:lineRule="auto"/>
        <w:ind w:firstLine="480" w:firstLineChars="200"/>
        <w:rPr>
          <w:rFonts w:ascii="宋体" w:hAnsi="宋体"/>
          <w:sz w:val="24"/>
        </w:rPr>
      </w:pPr>
      <w:r>
        <w:rPr>
          <w:rFonts w:hint="eastAsia" w:ascii="宋体" w:hAnsi="宋体"/>
          <w:sz w:val="24"/>
        </w:rPr>
        <w:t>3、谈判</w:t>
      </w:r>
      <w:r>
        <w:rPr>
          <w:rFonts w:ascii="宋体" w:hAnsi="宋体"/>
          <w:sz w:val="24"/>
        </w:rPr>
        <w:t>报价：</w:t>
      </w:r>
    </w:p>
    <w:p>
      <w:pPr>
        <w:snapToGrid w:val="0"/>
        <w:spacing w:line="360" w:lineRule="auto"/>
        <w:ind w:firstLine="480" w:firstLineChars="200"/>
        <w:rPr>
          <w:rFonts w:ascii="宋体" w:hAnsi="宋体"/>
          <w:sz w:val="24"/>
        </w:rPr>
      </w:pPr>
      <w:r>
        <w:rPr>
          <w:rFonts w:ascii="宋体" w:hAnsi="宋体"/>
          <w:sz w:val="24"/>
        </w:rPr>
        <w:t>谈判报价的具体要求见谈判文件第四章。</w:t>
      </w:r>
    </w:p>
    <w:p>
      <w:pPr>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、项目</w:t>
      </w:r>
      <w:r>
        <w:rPr>
          <w:rFonts w:hint="eastAsia" w:ascii="宋体" w:hAnsi="宋体"/>
          <w:sz w:val="24"/>
        </w:rPr>
        <w:t>技术和</w:t>
      </w:r>
      <w:r>
        <w:rPr>
          <w:rFonts w:ascii="宋体" w:hAnsi="宋体"/>
          <w:sz w:val="24"/>
        </w:rPr>
        <w:t>实施方案，应当包括</w:t>
      </w:r>
      <w:r>
        <w:rPr>
          <w:rFonts w:hint="eastAsia" w:ascii="宋体" w:hAnsi="宋体"/>
          <w:sz w:val="24"/>
        </w:rPr>
        <w:t>但不限于</w:t>
      </w:r>
      <w:r>
        <w:rPr>
          <w:rFonts w:ascii="宋体" w:hAnsi="宋体"/>
          <w:sz w:val="24"/>
        </w:rPr>
        <w:t>如下主题：</w:t>
      </w:r>
    </w:p>
    <w:p>
      <w:pPr>
        <w:snapToGrid w:val="0"/>
        <w:spacing w:line="360" w:lineRule="auto"/>
        <w:ind w:firstLine="480" w:firstLineChars="200"/>
        <w:rPr>
          <w:rFonts w:ascii="宋体" w:hAnsi="宋体"/>
          <w:sz w:val="24"/>
        </w:rPr>
      </w:pPr>
      <w:r>
        <w:rPr>
          <w:rFonts w:ascii="宋体" w:hAnsi="宋体"/>
          <w:sz w:val="24"/>
        </w:rPr>
        <w:t>1）项目技术方案</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）项目组织实施</w:t>
      </w:r>
      <w:r>
        <w:rPr>
          <w:rFonts w:hint="eastAsia" w:ascii="宋体" w:hAnsi="宋体"/>
          <w:sz w:val="24"/>
        </w:rPr>
        <w:t>方案</w:t>
      </w:r>
      <w:r>
        <w:rPr>
          <w:rFonts w:ascii="宋体" w:hAnsi="宋体"/>
          <w:sz w:val="24"/>
        </w:rPr>
        <w:t>和管理计划</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）培训</w:t>
      </w:r>
      <w:r>
        <w:rPr>
          <w:rFonts w:hint="eastAsia" w:ascii="宋体" w:hAnsi="宋体"/>
          <w:sz w:val="24"/>
        </w:rPr>
        <w:t>方案</w:t>
      </w:r>
      <w:r>
        <w:rPr>
          <w:rFonts w:ascii="宋体" w:hAnsi="宋体"/>
          <w:sz w:val="24"/>
        </w:rPr>
        <w:t>(含培训承诺中的所有培训，费用均由</w:t>
      </w:r>
      <w:r>
        <w:rPr>
          <w:rFonts w:hint="eastAsia" w:ascii="宋体" w:hAnsi="宋体"/>
          <w:sz w:val="24"/>
        </w:rPr>
        <w:t>供应商</w:t>
      </w:r>
      <w:r>
        <w:rPr>
          <w:rFonts w:ascii="宋体" w:hAnsi="宋体"/>
          <w:sz w:val="24"/>
        </w:rPr>
        <w:t>负担)</w:t>
      </w:r>
    </w:p>
    <w:p>
      <w:pPr>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）技术支持</w:t>
      </w:r>
      <w:r>
        <w:rPr>
          <w:rFonts w:hint="eastAsia" w:ascii="宋体" w:hAnsi="宋体"/>
          <w:sz w:val="24"/>
        </w:rPr>
        <w:t>、售后服务方案</w:t>
      </w:r>
    </w:p>
    <w:p>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）优惠</w:t>
      </w:r>
      <w:r>
        <w:rPr>
          <w:rFonts w:hint="eastAsia" w:ascii="宋体" w:hAnsi="宋体"/>
          <w:sz w:val="24"/>
        </w:rPr>
        <w:t>条款或承诺</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6</w:t>
      </w:r>
      <w:r>
        <w:rPr>
          <w:rFonts w:ascii="宋体" w:hAnsi="宋体"/>
          <w:sz w:val="24"/>
        </w:rPr>
        <w:t>）其他。</w:t>
      </w:r>
    </w:p>
    <w:p>
      <w:pPr>
        <w:snapToGrid w:val="0"/>
        <w:spacing w:line="360" w:lineRule="auto"/>
        <w:ind w:firstLine="482" w:firstLineChars="200"/>
        <w:rPr>
          <w:rFonts w:ascii="宋体" w:hAnsi="宋体"/>
          <w:b/>
          <w:sz w:val="24"/>
        </w:rPr>
      </w:pPr>
      <w:r>
        <w:rPr>
          <w:rFonts w:hint="eastAsia" w:ascii="宋体" w:hAnsi="宋体"/>
          <w:b/>
          <w:sz w:val="24"/>
        </w:rPr>
        <w:t>4</w:t>
      </w:r>
      <w:r>
        <w:rPr>
          <w:rFonts w:ascii="宋体" w:hAnsi="宋体"/>
          <w:b/>
          <w:sz w:val="24"/>
        </w:rPr>
        <w:t>、其他</w:t>
      </w:r>
      <w:r>
        <w:rPr>
          <w:rFonts w:hint="eastAsia" w:ascii="宋体" w:hAnsi="宋体"/>
          <w:b/>
          <w:sz w:val="24"/>
        </w:rPr>
        <w:t>评审相关材料</w:t>
      </w:r>
      <w:r>
        <w:rPr>
          <w:rFonts w:ascii="宋体" w:hAnsi="宋体"/>
          <w:b/>
          <w:sz w:val="24"/>
        </w:rPr>
        <w:t>：</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供应商应提交的各类证明资料；</w:t>
      </w:r>
    </w:p>
    <w:p>
      <w:pPr>
        <w:snapToGrid w:val="0"/>
        <w:spacing w:line="360" w:lineRule="auto"/>
        <w:ind w:firstLine="480" w:firstLineChars="200"/>
        <w:rPr>
          <w:rFonts w:ascii="宋体" w:hAnsi="宋体"/>
          <w:sz w:val="24"/>
        </w:rPr>
      </w:pPr>
      <w:r>
        <w:rPr>
          <w:rFonts w:hint="eastAsia" w:ascii="宋体" w:hAnsi="宋体"/>
          <w:sz w:val="24"/>
        </w:rPr>
        <w:t>2）上年度(2017年)财务状况报告</w:t>
      </w:r>
    </w:p>
    <w:p>
      <w:pPr>
        <w:snapToGrid w:val="0"/>
        <w:spacing w:line="360" w:lineRule="auto"/>
        <w:ind w:firstLine="480" w:firstLineChars="200"/>
        <w:rPr>
          <w:rFonts w:ascii="宋体" w:hAnsi="宋体"/>
          <w:sz w:val="24"/>
        </w:rPr>
      </w:pPr>
      <w:r>
        <w:rPr>
          <w:rFonts w:hint="eastAsia" w:ascii="宋体" w:hAnsi="宋体"/>
          <w:sz w:val="24"/>
        </w:rPr>
        <w:t>3）典型项目合同</w:t>
      </w:r>
    </w:p>
    <w:p>
      <w:pPr>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）投标</w:t>
      </w:r>
      <w:r>
        <w:rPr>
          <w:rFonts w:hint="eastAsia" w:ascii="宋体" w:hAnsi="宋体"/>
          <w:sz w:val="24"/>
        </w:rPr>
        <w:t>人</w:t>
      </w:r>
      <w:r>
        <w:rPr>
          <w:rFonts w:ascii="宋体" w:hAnsi="宋体"/>
          <w:sz w:val="24"/>
        </w:rPr>
        <w:t>参与本项目的技术人员一览表（提供姓名、学历、年龄、资质证书情况、以往参加类似项目情况、在本项目中的责任等），提供相关人员的职称或资格证书复印件，</w:t>
      </w:r>
      <w:r>
        <w:rPr>
          <w:rFonts w:hint="eastAsia" w:ascii="宋体" w:hAnsi="宋体"/>
          <w:sz w:val="24"/>
        </w:rPr>
        <w:t>本项目</w:t>
      </w:r>
      <w:r>
        <w:rPr>
          <w:rFonts w:ascii="宋体" w:hAnsi="宋体"/>
          <w:sz w:val="24"/>
        </w:rPr>
        <w:t>技术人员的劳动合同和社保缴费记录证明；</w:t>
      </w:r>
    </w:p>
    <w:p>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供应商</w:t>
      </w:r>
      <w:r>
        <w:rPr>
          <w:rFonts w:ascii="宋体" w:hAnsi="宋体"/>
          <w:sz w:val="24"/>
        </w:rPr>
        <w:t>相关荣誉证明资料；</w:t>
      </w:r>
    </w:p>
    <w:p>
      <w:pPr>
        <w:snapToGrid w:val="0"/>
        <w:spacing w:line="360" w:lineRule="auto"/>
        <w:ind w:firstLine="480" w:firstLineChars="200"/>
        <w:rPr>
          <w:rFonts w:ascii="宋体" w:hAnsi="宋体"/>
          <w:color w:val="FF0000"/>
          <w:sz w:val="24"/>
        </w:rPr>
      </w:pPr>
      <w:r>
        <w:rPr>
          <w:rFonts w:hint="eastAsia" w:ascii="宋体" w:hAnsi="宋体"/>
          <w:sz w:val="24"/>
        </w:rPr>
        <w:t>6）</w:t>
      </w:r>
      <w:r>
        <w:rPr>
          <w:rFonts w:hint="eastAsia" w:ascii="宋体" w:hAnsi="宋体"/>
          <w:color w:val="000000"/>
          <w:sz w:val="24"/>
        </w:rPr>
        <w:t>投标人须承诺中标后、签订合同前在常州范围内（不含武进区、金坛区、溧阳市）设有维修场地、维修人员、配件仓库、维修设备等；</w:t>
      </w:r>
    </w:p>
    <w:p>
      <w:pPr>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其他相关</w:t>
      </w:r>
      <w:r>
        <w:rPr>
          <w:rFonts w:ascii="宋体" w:hAnsi="宋体"/>
          <w:sz w:val="24"/>
        </w:rPr>
        <w:t>材料。</w:t>
      </w:r>
    </w:p>
    <w:p>
      <w:pPr>
        <w:snapToGrid w:val="0"/>
        <w:spacing w:line="360" w:lineRule="auto"/>
        <w:ind w:firstLine="480" w:firstLineChars="200"/>
        <w:rPr>
          <w:rFonts w:ascii="宋体" w:hAnsi="宋体"/>
          <w:b/>
          <w:sz w:val="24"/>
        </w:rPr>
      </w:pPr>
      <w:bookmarkStart w:id="10" w:name="_Toc288738406"/>
      <w:bookmarkStart w:id="11" w:name="_Toc288738332"/>
      <w:bookmarkStart w:id="12" w:name="_Toc288738800"/>
      <w:r>
        <w:rPr>
          <w:rFonts w:hint="eastAsia"/>
          <w:sz w:val="24"/>
        </w:rPr>
        <w:t>七、供应商应认真检查谈判文件的内容是否齐全，如有遗漏，应及时向集中采购机构索取，否则责任自负。</w:t>
      </w:r>
      <w:bookmarkEnd w:id="10"/>
      <w:bookmarkEnd w:id="11"/>
      <w:bookmarkEnd w:id="12"/>
      <w:bookmarkStart w:id="13" w:name="_Toc288738333"/>
      <w:bookmarkStart w:id="14" w:name="_Toc288738801"/>
      <w:bookmarkStart w:id="15" w:name="_Toc288738407"/>
    </w:p>
    <w:p>
      <w:pPr>
        <w:snapToGrid w:val="0"/>
        <w:spacing w:line="360" w:lineRule="auto"/>
        <w:ind w:firstLine="482" w:firstLineChars="200"/>
        <w:rPr>
          <w:rFonts w:ascii="宋体" w:hAnsi="宋体"/>
          <w:b/>
          <w:sz w:val="24"/>
        </w:rPr>
      </w:pPr>
      <w:r>
        <w:rPr>
          <w:rFonts w:hint="eastAsia" w:ascii="宋体" w:hAnsi="宋体"/>
          <w:b/>
          <w:sz w:val="24"/>
        </w:rPr>
        <w:t>八、响应文件的制作应当符合以下要求</w:t>
      </w:r>
      <w:bookmarkEnd w:id="13"/>
      <w:bookmarkEnd w:id="14"/>
      <w:bookmarkEnd w:id="15"/>
    </w:p>
    <w:p>
      <w:pPr>
        <w:snapToGrid w:val="0"/>
        <w:spacing w:line="360" w:lineRule="auto"/>
        <w:ind w:firstLine="480" w:firstLineChars="200"/>
        <w:rPr>
          <w:rFonts w:ascii="宋体" w:hAnsi="宋体"/>
          <w:sz w:val="24"/>
        </w:rPr>
      </w:pPr>
      <w:r>
        <w:rPr>
          <w:rFonts w:ascii="宋体" w:hAnsi="宋体"/>
          <w:sz w:val="24"/>
        </w:rPr>
        <w:t>1、供应商应准备响应文件的正本1套，副本</w:t>
      </w:r>
      <w:r>
        <w:rPr>
          <w:rFonts w:hint="eastAsia" w:ascii="宋体" w:hAnsi="宋体"/>
          <w:sz w:val="24"/>
          <w:u w:val="single"/>
        </w:rPr>
        <w:t>2</w:t>
      </w:r>
      <w:r>
        <w:rPr>
          <w:rFonts w:ascii="宋体" w:hAnsi="宋体"/>
          <w:sz w:val="24"/>
        </w:rPr>
        <w:t>套，在每一份响应文件上要明确注明“正本” 或“副本”字样。一旦正本和副本内容有差异，以正本为准。</w:t>
      </w:r>
    </w:p>
    <w:p>
      <w:pPr>
        <w:snapToGrid w:val="0"/>
        <w:spacing w:line="360" w:lineRule="auto"/>
        <w:ind w:firstLine="480" w:firstLineChars="200"/>
        <w:rPr>
          <w:rFonts w:ascii="宋体" w:hAnsi="宋体"/>
          <w:sz w:val="24"/>
        </w:rPr>
      </w:pPr>
      <w:r>
        <w:rPr>
          <w:rFonts w:ascii="宋体" w:hAnsi="宋体"/>
          <w:sz w:val="24"/>
        </w:rPr>
        <w:t>2、响应文件正本必须打印。供应商应按照要求，在正本规定的地方加盖单位公章或由供应商法定代表人（或其委托代理人）签字，副本可通过正本复印。</w:t>
      </w:r>
    </w:p>
    <w:p>
      <w:pPr>
        <w:snapToGrid w:val="0"/>
        <w:spacing w:line="360" w:lineRule="auto"/>
        <w:ind w:firstLine="480" w:firstLineChars="200"/>
        <w:rPr>
          <w:rFonts w:ascii="宋体" w:hAnsi="宋体"/>
          <w:sz w:val="24"/>
        </w:rPr>
      </w:pPr>
      <w:r>
        <w:rPr>
          <w:rFonts w:ascii="宋体" w:hAnsi="宋体"/>
          <w:sz w:val="24"/>
        </w:rPr>
        <w:t>3、全套响应文件应无修改和行间插字。如有修改，须在修改处加盖供应商法定代表人或其委托代理人的印鉴。</w:t>
      </w:r>
    </w:p>
    <w:p>
      <w:pPr>
        <w:snapToGrid w:val="0"/>
        <w:spacing w:line="360" w:lineRule="auto"/>
        <w:ind w:firstLine="480" w:firstLineChars="200"/>
        <w:rPr>
          <w:rFonts w:ascii="宋体" w:hAnsi="宋体"/>
          <w:sz w:val="24"/>
        </w:rPr>
      </w:pPr>
      <w:r>
        <w:rPr>
          <w:rFonts w:ascii="宋体" w:hAnsi="宋体"/>
          <w:sz w:val="24"/>
        </w:rPr>
        <w:t>4、谈判报价清晰准确，不存在影响其他供应商评分的严重错误。</w:t>
      </w:r>
    </w:p>
    <w:p>
      <w:pPr>
        <w:snapToGrid w:val="0"/>
        <w:spacing w:line="360" w:lineRule="auto"/>
        <w:ind w:firstLine="482" w:firstLineChars="200"/>
        <w:rPr>
          <w:rFonts w:ascii="宋体" w:hAnsi="宋体"/>
          <w:b/>
          <w:sz w:val="24"/>
        </w:rPr>
      </w:pPr>
      <w:bookmarkStart w:id="16" w:name="_Toc288738408"/>
      <w:bookmarkStart w:id="17" w:name="_Toc288738802"/>
      <w:bookmarkStart w:id="18" w:name="_Toc288738334"/>
      <w:r>
        <w:rPr>
          <w:rFonts w:hint="eastAsia" w:ascii="宋体" w:hAnsi="宋体"/>
          <w:b/>
          <w:sz w:val="24"/>
        </w:rPr>
        <w:t>九、在响应文件提交截止时间之前的密封完好的响应文件可以接受。</w:t>
      </w:r>
      <w:bookmarkEnd w:id="16"/>
      <w:bookmarkEnd w:id="17"/>
      <w:bookmarkEnd w:id="18"/>
    </w:p>
    <w:p>
      <w:pPr>
        <w:snapToGrid w:val="0"/>
        <w:spacing w:line="360" w:lineRule="auto"/>
        <w:ind w:firstLine="482" w:firstLineChars="200"/>
        <w:rPr>
          <w:rFonts w:ascii="宋体" w:hAnsi="宋体"/>
          <w:b/>
          <w:sz w:val="24"/>
        </w:rPr>
      </w:pPr>
      <w:bookmarkStart w:id="19" w:name="_Toc288738335"/>
      <w:bookmarkStart w:id="20" w:name="_Toc288738409"/>
      <w:bookmarkStart w:id="21" w:name="_Toc288738803"/>
      <w:r>
        <w:rPr>
          <w:rFonts w:hint="eastAsia" w:ascii="宋体" w:hAnsi="宋体"/>
          <w:b/>
          <w:sz w:val="24"/>
        </w:rPr>
        <w:t>十、谈判保证金</w:t>
      </w:r>
      <w:bookmarkEnd w:id="19"/>
      <w:bookmarkEnd w:id="20"/>
      <w:bookmarkEnd w:id="21"/>
    </w:p>
    <w:p>
      <w:pPr>
        <w:snapToGrid w:val="0"/>
        <w:spacing w:line="360" w:lineRule="auto"/>
        <w:ind w:left="359" w:leftChars="171" w:firstLine="120" w:firstLineChars="50"/>
        <w:rPr>
          <w:rFonts w:ascii="宋体" w:hAnsi="宋体"/>
          <w:sz w:val="24"/>
        </w:rPr>
      </w:pPr>
      <w:r>
        <w:rPr>
          <w:rFonts w:ascii="宋体" w:hAnsi="宋体"/>
          <w:sz w:val="24"/>
        </w:rPr>
        <w:t>1、供应商</w:t>
      </w:r>
      <w:r>
        <w:rPr>
          <w:rFonts w:hint="eastAsia" w:ascii="宋体" w:hAnsi="宋体"/>
          <w:sz w:val="24"/>
        </w:rPr>
        <w:t>必须</w:t>
      </w:r>
      <w:r>
        <w:rPr>
          <w:rFonts w:ascii="宋体" w:hAnsi="宋体"/>
          <w:sz w:val="24"/>
        </w:rPr>
        <w:t>按要求在</w:t>
      </w:r>
      <w:r>
        <w:rPr>
          <w:rFonts w:hint="eastAsia" w:ascii="宋体" w:hAnsi="宋体"/>
          <w:sz w:val="24"/>
        </w:rPr>
        <w:t>响应文件提交截止时间</w:t>
      </w:r>
      <w:r>
        <w:rPr>
          <w:rFonts w:ascii="宋体" w:hAnsi="宋体"/>
          <w:sz w:val="24"/>
        </w:rPr>
        <w:t>前向集中采购机构交纳谈判保证金</w:t>
      </w:r>
      <w:r>
        <w:rPr>
          <w:rFonts w:hint="eastAsia" w:ascii="宋体" w:hAnsi="宋体"/>
          <w:b/>
          <w:sz w:val="24"/>
          <w:u w:val="single"/>
        </w:rPr>
        <w:t>5000</w:t>
      </w:r>
      <w:r>
        <w:rPr>
          <w:rFonts w:ascii="宋体" w:hAnsi="宋体"/>
          <w:b/>
          <w:sz w:val="24"/>
        </w:rPr>
        <w:t>元整</w:t>
      </w:r>
      <w:r>
        <w:rPr>
          <w:rFonts w:hint="eastAsia" w:ascii="宋体" w:hAnsi="宋体"/>
          <w:sz w:val="24"/>
        </w:rPr>
        <w:t>（以到账为准,拒绝以个人名义缴纳），谈判保证金可采用银行转账方式，缴纳后自行到常州中瑞工程造价咨询有限公司行政办公室领取收据。</w:t>
      </w:r>
    </w:p>
    <w:p>
      <w:pPr>
        <w:snapToGrid w:val="0"/>
        <w:spacing w:line="360" w:lineRule="auto"/>
        <w:ind w:firstLine="480" w:firstLineChars="200"/>
        <w:rPr>
          <w:rFonts w:ascii="宋体" w:hAnsi="宋体"/>
          <w:sz w:val="24"/>
        </w:rPr>
      </w:pPr>
      <w:r>
        <w:rPr>
          <w:rFonts w:ascii="宋体" w:hAnsi="宋体"/>
          <w:sz w:val="24"/>
        </w:rPr>
        <w:t>2、在</w:t>
      </w:r>
      <w:r>
        <w:rPr>
          <w:rFonts w:hint="eastAsia" w:ascii="宋体" w:hAnsi="宋体"/>
          <w:sz w:val="24"/>
        </w:rPr>
        <w:t>谈判</w:t>
      </w:r>
      <w:r>
        <w:rPr>
          <w:rFonts w:ascii="宋体" w:hAnsi="宋体"/>
          <w:sz w:val="24"/>
        </w:rPr>
        <w:t>时，响应文件中必须提供谈判保证金收款收据复印件(或执原件备查),对于未按要求提交谈判保证金的，其响应文件将</w:t>
      </w:r>
      <w:r>
        <w:rPr>
          <w:rFonts w:hint="eastAsia" w:ascii="宋体" w:hAnsi="宋体"/>
          <w:sz w:val="24"/>
        </w:rPr>
        <w:t>作为</w:t>
      </w:r>
      <w:r>
        <w:rPr>
          <w:rFonts w:ascii="宋体" w:hAnsi="宋体"/>
          <w:sz w:val="24"/>
        </w:rPr>
        <w:t>无效响应</w:t>
      </w:r>
      <w:r>
        <w:rPr>
          <w:rFonts w:hint="eastAsia" w:ascii="宋体" w:hAnsi="宋体"/>
          <w:sz w:val="24"/>
        </w:rPr>
        <w:t>文件处理，不予参加评审</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3、未成交供应商的谈判保证金在将在中标通知书发出后的一周内予以全额退还（无息），请未成交供应商自行开具</w:t>
      </w:r>
      <w:r>
        <w:rPr>
          <w:rFonts w:hint="eastAsia" w:ascii="宋体" w:hAnsi="宋体"/>
          <w:sz w:val="24"/>
        </w:rPr>
        <w:t>加盖</w:t>
      </w:r>
      <w:r>
        <w:rPr>
          <w:rFonts w:ascii="宋体" w:hAnsi="宋体"/>
          <w:sz w:val="24"/>
        </w:rPr>
        <w:t>本单位</w:t>
      </w:r>
      <w:r>
        <w:rPr>
          <w:rFonts w:hint="eastAsia" w:ascii="宋体" w:hAnsi="宋体"/>
          <w:sz w:val="24"/>
        </w:rPr>
        <w:t>公章的</w:t>
      </w:r>
      <w:r>
        <w:rPr>
          <w:rFonts w:ascii="宋体" w:hAnsi="宋体"/>
          <w:sz w:val="24"/>
        </w:rPr>
        <w:t>财务收据到采购中心综合科办理退款。</w:t>
      </w:r>
    </w:p>
    <w:p>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成交供应商的谈判保证金将转入履约保证金，待合同按约履行完毕后的7个工作日内全额退还（无息），履约保证金另有约定的除外。</w:t>
      </w:r>
    </w:p>
    <w:p>
      <w:pPr>
        <w:snapToGrid w:val="0"/>
        <w:spacing w:line="360" w:lineRule="auto"/>
        <w:ind w:firstLine="480" w:firstLineChars="200"/>
        <w:rPr>
          <w:rFonts w:ascii="宋体" w:hAnsi="宋体"/>
          <w:sz w:val="24"/>
        </w:rPr>
      </w:pPr>
      <w:r>
        <w:rPr>
          <w:rFonts w:ascii="宋体" w:hAnsi="宋体"/>
          <w:sz w:val="24"/>
        </w:rPr>
        <w:t>5、供应商出现下列情况，集中采购机构报经主管部门批准同意后有权取消其中标资格，并没收其谈判保证金。</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供应商在提交后又撤回其响应文件；</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成交供应商未能在谈判文件规定的期限提交履约担保；</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成交供应商无正当理由拒绝签订合同；</w:t>
      </w:r>
    </w:p>
    <w:p>
      <w:pPr>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由于供应商的原因导致中标无效的。</w:t>
      </w:r>
    </w:p>
    <w:p>
      <w:pPr>
        <w:pStyle w:val="2"/>
        <w:numPr>
          <w:ilvl w:val="0"/>
          <w:numId w:val="0"/>
        </w:numPr>
        <w:snapToGrid w:val="0"/>
        <w:spacing w:line="360" w:lineRule="auto"/>
        <w:rPr>
          <w:rFonts w:ascii="宋体" w:hAnsi="宋体" w:eastAsia="宋体"/>
          <w:snapToGrid w:val="0"/>
          <w:spacing w:val="-6"/>
          <w:sz w:val="40"/>
          <w:szCs w:val="44"/>
        </w:rPr>
      </w:pPr>
      <w:bookmarkStart w:id="22" w:name="_Toc430158354"/>
      <w:bookmarkStart w:id="23" w:name="_Toc288738336"/>
      <w:bookmarkStart w:id="24" w:name="_Toc288738804"/>
      <w:r>
        <w:rPr>
          <w:rFonts w:hint="eastAsia" w:ascii="宋体" w:hAnsi="宋体" w:eastAsia="宋体"/>
          <w:snapToGrid w:val="0"/>
          <w:spacing w:val="-6"/>
          <w:sz w:val="40"/>
          <w:szCs w:val="44"/>
        </w:rPr>
        <w:t>第三章 响应文件密封和提交</w:t>
      </w:r>
      <w:bookmarkEnd w:id="22"/>
      <w:bookmarkEnd w:id="23"/>
      <w:bookmarkEnd w:id="24"/>
    </w:p>
    <w:p>
      <w:pPr>
        <w:snapToGrid w:val="0"/>
        <w:spacing w:line="360" w:lineRule="auto"/>
        <w:ind w:firstLine="482" w:firstLineChars="200"/>
        <w:rPr>
          <w:rFonts w:ascii="宋体" w:hAnsi="宋体"/>
          <w:b/>
          <w:sz w:val="24"/>
        </w:rPr>
      </w:pPr>
      <w:bookmarkStart w:id="25" w:name="_Toc288738411"/>
      <w:bookmarkStart w:id="26" w:name="_Toc288738805"/>
      <w:bookmarkStart w:id="27" w:name="_Toc288738337"/>
      <w:r>
        <w:rPr>
          <w:rFonts w:hint="eastAsia" w:ascii="宋体" w:hAnsi="宋体"/>
          <w:b/>
          <w:sz w:val="24"/>
        </w:rPr>
        <w:t>十一、响应文件的密封与标志</w:t>
      </w:r>
      <w:bookmarkEnd w:id="25"/>
      <w:bookmarkEnd w:id="26"/>
      <w:bookmarkEnd w:id="27"/>
    </w:p>
    <w:p>
      <w:pPr>
        <w:snapToGrid w:val="0"/>
        <w:spacing w:line="360" w:lineRule="auto"/>
        <w:ind w:firstLine="480" w:firstLineChars="200"/>
        <w:rPr>
          <w:rFonts w:ascii="宋体" w:hAnsi="宋体"/>
          <w:sz w:val="24"/>
        </w:rPr>
      </w:pPr>
      <w:r>
        <w:rPr>
          <w:rFonts w:ascii="宋体" w:hAnsi="宋体"/>
          <w:sz w:val="24"/>
        </w:rPr>
        <w:t>1、供应商应将响应文件密封。</w:t>
      </w:r>
    </w:p>
    <w:p>
      <w:pPr>
        <w:snapToGrid w:val="0"/>
        <w:spacing w:line="360" w:lineRule="auto"/>
        <w:ind w:firstLine="480" w:firstLineChars="200"/>
        <w:rPr>
          <w:rFonts w:ascii="宋体" w:hAnsi="宋体"/>
          <w:sz w:val="24"/>
        </w:rPr>
      </w:pPr>
      <w:r>
        <w:rPr>
          <w:rFonts w:ascii="宋体" w:hAnsi="宋体"/>
          <w:sz w:val="24"/>
        </w:rPr>
        <w:t>2、所有封袋上都应写明供应商名称、</w:t>
      </w:r>
      <w:r>
        <w:rPr>
          <w:rFonts w:hint="eastAsia" w:ascii="宋体" w:hAnsi="宋体"/>
          <w:sz w:val="24"/>
        </w:rPr>
        <w:t>采购</w:t>
      </w:r>
      <w:r>
        <w:rPr>
          <w:rFonts w:ascii="宋体" w:hAnsi="宋体"/>
          <w:sz w:val="24"/>
        </w:rPr>
        <w:t>项目名称，</w:t>
      </w:r>
      <w:r>
        <w:rPr>
          <w:rFonts w:hint="eastAsia" w:ascii="宋体" w:hAnsi="宋体"/>
          <w:sz w:val="24"/>
        </w:rPr>
        <w:t>采购</w:t>
      </w:r>
      <w:r>
        <w:rPr>
          <w:rFonts w:ascii="宋体" w:hAnsi="宋体"/>
          <w:sz w:val="24"/>
        </w:rPr>
        <w:t>项目编号，年月日。</w:t>
      </w:r>
    </w:p>
    <w:p>
      <w:pPr>
        <w:snapToGrid w:val="0"/>
        <w:spacing w:line="360" w:lineRule="auto"/>
        <w:ind w:firstLine="480" w:firstLineChars="200"/>
        <w:rPr>
          <w:rFonts w:ascii="宋体" w:hAnsi="宋体"/>
          <w:sz w:val="24"/>
        </w:rPr>
      </w:pPr>
      <w:r>
        <w:rPr>
          <w:rFonts w:ascii="宋体" w:hAnsi="宋体"/>
          <w:sz w:val="24"/>
        </w:rPr>
        <w:t>3、所有响应文件都必须在封袋骑缝处加盖供应商公章。</w:t>
      </w:r>
    </w:p>
    <w:p>
      <w:pPr>
        <w:snapToGrid w:val="0"/>
        <w:spacing w:line="360" w:lineRule="auto"/>
        <w:ind w:firstLine="480" w:firstLineChars="200"/>
        <w:rPr>
          <w:rFonts w:ascii="宋体" w:hAnsi="宋体"/>
          <w:sz w:val="24"/>
        </w:rPr>
      </w:pPr>
      <w:r>
        <w:rPr>
          <w:rFonts w:ascii="宋体" w:hAnsi="宋体"/>
          <w:sz w:val="24"/>
        </w:rPr>
        <w:t>4、供应商</w:t>
      </w:r>
      <w:r>
        <w:rPr>
          <w:rFonts w:hint="eastAsia" w:ascii="宋体" w:hAnsi="宋体"/>
          <w:sz w:val="24"/>
        </w:rPr>
        <w:t>违反</w:t>
      </w:r>
      <w:r>
        <w:rPr>
          <w:rFonts w:ascii="宋体" w:hAnsi="宋体"/>
          <w:sz w:val="24"/>
        </w:rPr>
        <w:t>上述规定</w:t>
      </w:r>
      <w:r>
        <w:rPr>
          <w:rFonts w:hint="eastAsia" w:ascii="宋体" w:hAnsi="宋体"/>
          <w:sz w:val="24"/>
        </w:rPr>
        <w:t>的</w:t>
      </w:r>
      <w:r>
        <w:rPr>
          <w:rFonts w:ascii="宋体" w:hAnsi="宋体"/>
          <w:sz w:val="24"/>
        </w:rPr>
        <w:t>，其响应文件将被</w:t>
      </w:r>
      <w:r>
        <w:rPr>
          <w:rFonts w:hint="eastAsia" w:ascii="宋体" w:hAnsi="宋体"/>
          <w:sz w:val="24"/>
        </w:rPr>
        <w:t>作为无效响应文件，不予拆封和参加评审</w:t>
      </w:r>
      <w:r>
        <w:rPr>
          <w:rFonts w:ascii="宋体" w:hAnsi="宋体"/>
          <w:sz w:val="24"/>
        </w:rPr>
        <w:t>。</w:t>
      </w:r>
    </w:p>
    <w:p>
      <w:pPr>
        <w:snapToGrid w:val="0"/>
        <w:spacing w:line="360" w:lineRule="auto"/>
        <w:ind w:firstLine="482" w:firstLineChars="200"/>
        <w:rPr>
          <w:rFonts w:ascii="宋体" w:hAnsi="宋体"/>
          <w:b/>
          <w:sz w:val="24"/>
        </w:rPr>
      </w:pPr>
      <w:bookmarkStart w:id="28" w:name="_Toc288738806"/>
      <w:bookmarkStart w:id="29" w:name="_Toc288738412"/>
      <w:bookmarkStart w:id="30" w:name="_Toc288738338"/>
      <w:r>
        <w:rPr>
          <w:rFonts w:hint="eastAsia" w:ascii="宋体" w:hAnsi="宋体"/>
          <w:b/>
          <w:sz w:val="24"/>
        </w:rPr>
        <w:t>十二、响应文件提交，截止时间和地</w:t>
      </w:r>
      <w:bookmarkEnd w:id="28"/>
      <w:bookmarkEnd w:id="29"/>
      <w:bookmarkEnd w:id="30"/>
      <w:r>
        <w:rPr>
          <w:rFonts w:hint="eastAsia" w:ascii="宋体" w:hAnsi="宋体"/>
          <w:b/>
          <w:sz w:val="24"/>
        </w:rPr>
        <w:t>点</w:t>
      </w:r>
    </w:p>
    <w:p>
      <w:pPr>
        <w:snapToGrid w:val="0"/>
        <w:spacing w:line="360" w:lineRule="auto"/>
        <w:ind w:firstLine="480" w:firstLineChars="200"/>
        <w:rPr>
          <w:rFonts w:ascii="宋体" w:hAnsi="宋体"/>
          <w:sz w:val="24"/>
        </w:rPr>
      </w:pPr>
      <w:r>
        <w:rPr>
          <w:rFonts w:hint="eastAsia" w:ascii="宋体" w:hAnsi="宋体"/>
          <w:sz w:val="24"/>
        </w:rPr>
        <w:t>供应商须在竞争性谈判采购公告规定的响应文件提交截止时间之前在指定地点将响应文件提交给集中采购机构。</w:t>
      </w:r>
    </w:p>
    <w:p>
      <w:pPr>
        <w:snapToGrid w:val="0"/>
        <w:spacing w:line="360" w:lineRule="auto"/>
        <w:ind w:firstLine="482" w:firstLineChars="200"/>
        <w:rPr>
          <w:rFonts w:ascii="宋体" w:hAnsi="宋体"/>
          <w:b/>
          <w:sz w:val="24"/>
        </w:rPr>
      </w:pPr>
      <w:bookmarkStart w:id="31" w:name="_Toc288738807"/>
      <w:bookmarkStart w:id="32" w:name="_Toc288738339"/>
      <w:bookmarkStart w:id="33" w:name="_Toc288738413"/>
      <w:r>
        <w:rPr>
          <w:rFonts w:hint="eastAsia" w:ascii="宋体" w:hAnsi="宋体"/>
          <w:b/>
          <w:sz w:val="24"/>
        </w:rPr>
        <w:t>十三、响应文件的修改和撤回</w:t>
      </w:r>
      <w:bookmarkEnd w:id="31"/>
      <w:bookmarkEnd w:id="32"/>
      <w:bookmarkEnd w:id="33"/>
    </w:p>
    <w:p>
      <w:pPr>
        <w:snapToGrid w:val="0"/>
        <w:spacing w:line="360" w:lineRule="auto"/>
        <w:ind w:firstLine="480" w:firstLineChars="200"/>
        <w:rPr>
          <w:rFonts w:ascii="宋体" w:hAnsi="宋体"/>
          <w:sz w:val="24"/>
        </w:rPr>
      </w:pPr>
      <w:r>
        <w:rPr>
          <w:rFonts w:ascii="宋体" w:hAnsi="宋体"/>
          <w:sz w:val="24"/>
        </w:rPr>
        <w:t>在响应文件提交截止时间之前，供应商可</w:t>
      </w:r>
      <w:r>
        <w:rPr>
          <w:rFonts w:hint="eastAsia" w:ascii="宋体" w:hAnsi="宋体"/>
          <w:sz w:val="24"/>
        </w:rPr>
        <w:t>以</w:t>
      </w:r>
      <w:r>
        <w:rPr>
          <w:rFonts w:ascii="宋体" w:hAnsi="宋体"/>
          <w:sz w:val="24"/>
        </w:rPr>
        <w:t>对所提交的响应文件进行修改和撤回，但所提交的修改或撤回通知必须按谈判文件的规定进行编制、密封、标志（在包封上标明“修改”或“撤回”字样，并注明修改或撤回的时间）和提交。响应文件提交截止时间之后，供应商不得修改或撤回响应文件。</w:t>
      </w:r>
    </w:p>
    <w:p>
      <w:pPr>
        <w:adjustRightInd w:val="0"/>
        <w:snapToGrid w:val="0"/>
        <w:spacing w:line="360" w:lineRule="auto"/>
        <w:ind w:firstLine="480" w:firstLineChars="200"/>
        <w:rPr>
          <w:rFonts w:ascii="宋体" w:hAnsi="宋体"/>
          <w:sz w:val="24"/>
          <w:szCs w:val="28"/>
        </w:rPr>
      </w:pPr>
      <w:r>
        <w:rPr>
          <w:rFonts w:hint="eastAsia" w:ascii="宋体" w:hAnsi="宋体" w:cs="宋体"/>
          <w:sz w:val="24"/>
          <w:szCs w:val="28"/>
        </w:rPr>
        <w:t> </w:t>
      </w:r>
    </w:p>
    <w:p>
      <w:pPr>
        <w:pStyle w:val="2"/>
        <w:numPr>
          <w:ilvl w:val="0"/>
          <w:numId w:val="0"/>
        </w:numPr>
        <w:snapToGrid w:val="0"/>
        <w:spacing w:line="360" w:lineRule="auto"/>
        <w:rPr>
          <w:rFonts w:ascii="宋体" w:hAnsi="宋体" w:eastAsia="宋体"/>
          <w:sz w:val="40"/>
        </w:rPr>
      </w:pPr>
      <w:bookmarkStart w:id="34" w:name="_Toc288738808"/>
      <w:bookmarkStart w:id="35" w:name="_Toc288738340"/>
      <w:bookmarkStart w:id="36" w:name="_Toc430158355"/>
      <w:r>
        <w:rPr>
          <w:rFonts w:hint="eastAsia" w:ascii="宋体" w:hAnsi="宋体" w:eastAsia="宋体"/>
          <w:sz w:val="40"/>
        </w:rPr>
        <w:t>第四章 谈判报价</w:t>
      </w:r>
      <w:bookmarkEnd w:id="34"/>
      <w:bookmarkEnd w:id="35"/>
      <w:bookmarkEnd w:id="36"/>
    </w:p>
    <w:p>
      <w:pPr>
        <w:snapToGrid w:val="0"/>
        <w:spacing w:line="360" w:lineRule="auto"/>
        <w:ind w:firstLine="482" w:firstLineChars="200"/>
        <w:rPr>
          <w:rFonts w:ascii="宋体" w:hAnsi="宋体"/>
          <w:b/>
          <w:sz w:val="24"/>
        </w:rPr>
      </w:pPr>
      <w:bookmarkStart w:id="37" w:name="_Toc288738341"/>
      <w:bookmarkStart w:id="38" w:name="_Toc288738415"/>
      <w:bookmarkStart w:id="39" w:name="_Toc288738809"/>
      <w:r>
        <w:rPr>
          <w:rFonts w:hint="eastAsia" w:ascii="宋体" w:hAnsi="宋体"/>
          <w:b/>
          <w:sz w:val="24"/>
        </w:rPr>
        <w:t>十四、</w:t>
      </w:r>
      <w:bookmarkEnd w:id="37"/>
      <w:bookmarkEnd w:id="38"/>
      <w:bookmarkEnd w:id="39"/>
      <w:r>
        <w:rPr>
          <w:rFonts w:hint="eastAsia" w:ascii="宋体" w:hAnsi="宋体"/>
          <w:b/>
          <w:sz w:val="24"/>
        </w:rPr>
        <w:t>项目总价应包括谈判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p>
    <w:p>
      <w:pPr>
        <w:snapToGrid w:val="0"/>
        <w:spacing w:line="360" w:lineRule="auto"/>
        <w:ind w:firstLine="482" w:firstLineChars="200"/>
        <w:rPr>
          <w:rFonts w:ascii="宋体" w:hAnsi="宋体"/>
          <w:b/>
          <w:sz w:val="24"/>
        </w:rPr>
      </w:pPr>
      <w:bookmarkStart w:id="40" w:name="_Toc288738342"/>
      <w:bookmarkStart w:id="41" w:name="_Toc288738416"/>
      <w:bookmarkStart w:id="42" w:name="_Toc288738810"/>
      <w:r>
        <w:rPr>
          <w:rFonts w:hint="eastAsia" w:ascii="宋体" w:hAnsi="宋体"/>
          <w:b/>
          <w:sz w:val="24"/>
        </w:rPr>
        <w:t>十五、谈判报价方式</w:t>
      </w:r>
      <w:bookmarkEnd w:id="40"/>
      <w:bookmarkEnd w:id="41"/>
      <w:bookmarkEnd w:id="42"/>
    </w:p>
    <w:p>
      <w:pPr>
        <w:snapToGrid w:val="0"/>
        <w:spacing w:line="360" w:lineRule="auto"/>
        <w:ind w:firstLine="480" w:firstLineChars="200"/>
        <w:rPr>
          <w:rFonts w:ascii="宋体" w:hAnsi="宋体"/>
          <w:sz w:val="24"/>
        </w:rPr>
      </w:pPr>
      <w:r>
        <w:rPr>
          <w:rFonts w:hint="eastAsia" w:ascii="宋体" w:hAnsi="宋体"/>
          <w:sz w:val="24"/>
        </w:rPr>
        <w:t>1、供应商应按照谈判文件中提供的格式完整、正确填写开标一览表。开标一览表中的报价应与分项报价表的总价完全一致，如有不一致的，以开标一览表的报价为准。</w:t>
      </w:r>
    </w:p>
    <w:p>
      <w:pPr>
        <w:snapToGrid w:val="0"/>
        <w:spacing w:line="360" w:lineRule="auto"/>
        <w:ind w:firstLine="480" w:firstLineChars="200"/>
        <w:rPr>
          <w:rFonts w:ascii="宋体" w:hAnsi="宋体"/>
          <w:sz w:val="24"/>
        </w:rPr>
      </w:pPr>
      <w:r>
        <w:rPr>
          <w:rFonts w:hint="eastAsia" w:ascii="宋体" w:hAnsi="宋体"/>
          <w:sz w:val="24"/>
        </w:rPr>
        <w:t>报价货币为人民币，评标时以人民币为准。</w:t>
      </w:r>
    </w:p>
    <w:p>
      <w:pPr>
        <w:snapToGrid w:val="0"/>
        <w:spacing w:line="360" w:lineRule="auto"/>
        <w:ind w:firstLine="480" w:firstLineChars="200"/>
        <w:rPr>
          <w:rFonts w:ascii="宋体" w:hAnsi="宋体"/>
          <w:sz w:val="24"/>
        </w:rPr>
      </w:pPr>
      <w:r>
        <w:rPr>
          <w:rFonts w:hint="eastAsia" w:ascii="宋体" w:hAnsi="宋体"/>
          <w:sz w:val="24"/>
        </w:rPr>
        <w:t>2、供应商应按照谈判文件规定格式填报投分项报价表。</w:t>
      </w:r>
    </w:p>
    <w:p>
      <w:pPr>
        <w:snapToGrid w:val="0"/>
        <w:spacing w:line="360" w:lineRule="auto"/>
        <w:ind w:firstLine="480" w:firstLineChars="200"/>
        <w:rPr>
          <w:rFonts w:ascii="宋体" w:hAnsi="宋体"/>
          <w:sz w:val="24"/>
        </w:rPr>
      </w:pPr>
      <w:r>
        <w:rPr>
          <w:rFonts w:hint="eastAsia" w:ascii="宋体" w:hAnsi="宋体"/>
          <w:sz w:val="24"/>
        </w:rPr>
        <w:t>3、培训服务费用报价：由各供应商根据企业自身情况自行决定是否单列。如供应商单列培训费用，则自行将谈判文件所提供的“分项报价表”格式扩展。</w:t>
      </w:r>
    </w:p>
    <w:p>
      <w:pPr>
        <w:snapToGrid w:val="0"/>
        <w:spacing w:line="360" w:lineRule="auto"/>
        <w:ind w:firstLine="480" w:firstLineChars="200"/>
        <w:rPr>
          <w:rFonts w:ascii="宋体" w:hAnsi="宋体"/>
          <w:sz w:val="24"/>
        </w:rPr>
      </w:pPr>
      <w:r>
        <w:rPr>
          <w:rFonts w:hint="eastAsia" w:ascii="宋体" w:hAnsi="宋体"/>
          <w:sz w:val="24"/>
        </w:rPr>
        <w:t>4、售后服务费用报价：同上。</w:t>
      </w:r>
    </w:p>
    <w:p>
      <w:pPr>
        <w:snapToGrid w:val="0"/>
        <w:spacing w:line="360" w:lineRule="auto"/>
        <w:ind w:firstLine="480" w:firstLineChars="200"/>
        <w:rPr>
          <w:rFonts w:ascii="宋体" w:hAnsi="宋体"/>
          <w:sz w:val="24"/>
        </w:rPr>
      </w:pPr>
      <w:r>
        <w:rPr>
          <w:rFonts w:hint="eastAsia" w:ascii="宋体" w:hAnsi="宋体"/>
          <w:sz w:val="24"/>
        </w:rPr>
        <w:t>5、供应商需对每部分报价包含的服务内容进行明确说明。如有特别承诺，也需明确说明。</w:t>
      </w:r>
    </w:p>
    <w:p>
      <w:pPr>
        <w:snapToGrid w:val="0"/>
        <w:spacing w:line="360" w:lineRule="auto"/>
        <w:ind w:firstLine="480" w:firstLineChars="200"/>
        <w:rPr>
          <w:rFonts w:ascii="宋体" w:hAnsi="宋体"/>
          <w:sz w:val="24"/>
        </w:rPr>
      </w:pPr>
      <w:r>
        <w:rPr>
          <w:rFonts w:hint="eastAsia" w:ascii="宋体" w:hAnsi="宋体"/>
          <w:sz w:val="24"/>
        </w:rPr>
        <w:t>6、本项目的最高限价（或者采购预算）为</w:t>
      </w:r>
      <w:r>
        <w:rPr>
          <w:rFonts w:hint="eastAsia" w:ascii="宋体" w:hAnsi="宋体"/>
          <w:b/>
          <w:sz w:val="24"/>
          <w:u w:val="single"/>
        </w:rPr>
        <w:t>10万</w:t>
      </w:r>
      <w:r>
        <w:rPr>
          <w:rFonts w:hint="eastAsia" w:ascii="宋体" w:hAnsi="宋体"/>
          <w:b/>
          <w:sz w:val="24"/>
        </w:rPr>
        <w:t>元</w:t>
      </w:r>
      <w:r>
        <w:rPr>
          <w:rFonts w:hint="eastAsia" w:ascii="宋体" w:hAnsi="宋体"/>
          <w:sz w:val="24"/>
        </w:rPr>
        <w:t>，项目总价高于最高限价（或者采购预算）的作为无效响应处理。</w:t>
      </w:r>
    </w:p>
    <w:p>
      <w:pPr>
        <w:snapToGrid w:val="0"/>
        <w:spacing w:line="360" w:lineRule="auto"/>
        <w:ind w:firstLine="480" w:firstLineChars="200"/>
        <w:rPr>
          <w:rFonts w:ascii="宋体" w:hAnsi="宋体"/>
          <w:sz w:val="24"/>
          <w:u w:val="single"/>
        </w:rPr>
      </w:pPr>
      <w:r>
        <w:rPr>
          <w:rFonts w:hint="eastAsia" w:ascii="宋体" w:hAnsi="宋体"/>
          <w:sz w:val="24"/>
        </w:rPr>
        <w:t>7、谈判报价次数：本项目采用二次报价，响应文件的谈判报价作为首次报价，在谈判小组评审谈判结束后，所有继续参加谈判的供应商在规定时间内提交最终报价。</w:t>
      </w:r>
    </w:p>
    <w:p>
      <w:pPr>
        <w:pStyle w:val="2"/>
        <w:numPr>
          <w:ilvl w:val="0"/>
          <w:numId w:val="0"/>
        </w:numPr>
        <w:snapToGrid w:val="0"/>
        <w:spacing w:line="360" w:lineRule="auto"/>
        <w:rPr>
          <w:rFonts w:ascii="宋体" w:hAnsi="宋体" w:eastAsia="宋体"/>
          <w:sz w:val="40"/>
        </w:rPr>
      </w:pPr>
      <w:bookmarkStart w:id="43" w:name="_Toc288738343"/>
      <w:bookmarkStart w:id="44" w:name="_Toc288738811"/>
      <w:bookmarkStart w:id="45" w:name="_Toc430158356"/>
      <w:r>
        <w:rPr>
          <w:rFonts w:hint="eastAsia" w:ascii="宋体" w:hAnsi="宋体" w:eastAsia="宋体"/>
          <w:sz w:val="40"/>
        </w:rPr>
        <w:t>第五章  谈判、评审、评定成交</w:t>
      </w:r>
      <w:bookmarkEnd w:id="43"/>
      <w:bookmarkEnd w:id="44"/>
      <w:bookmarkEnd w:id="45"/>
    </w:p>
    <w:p>
      <w:pPr>
        <w:snapToGrid w:val="0"/>
        <w:spacing w:line="360" w:lineRule="auto"/>
        <w:ind w:firstLine="482" w:firstLineChars="200"/>
        <w:rPr>
          <w:rFonts w:ascii="宋体" w:hAnsi="宋体"/>
          <w:b/>
          <w:sz w:val="24"/>
        </w:rPr>
      </w:pPr>
      <w:bookmarkStart w:id="46" w:name="_Toc288738344"/>
      <w:bookmarkStart w:id="47" w:name="_Toc288738418"/>
      <w:bookmarkStart w:id="48" w:name="_Toc288738812"/>
      <w:r>
        <w:rPr>
          <w:rFonts w:hint="eastAsia" w:ascii="宋体" w:hAnsi="宋体"/>
          <w:b/>
          <w:sz w:val="24"/>
        </w:rPr>
        <w:t>十六、答疑，谈判会议时间和地点</w:t>
      </w:r>
      <w:bookmarkEnd w:id="46"/>
      <w:bookmarkEnd w:id="47"/>
      <w:bookmarkEnd w:id="48"/>
    </w:p>
    <w:p>
      <w:pPr>
        <w:snapToGrid w:val="0"/>
        <w:spacing w:line="360" w:lineRule="auto"/>
        <w:ind w:firstLine="480" w:firstLineChars="200"/>
        <w:rPr>
          <w:rFonts w:ascii="宋体" w:hAnsi="宋体"/>
          <w:sz w:val="24"/>
        </w:rPr>
      </w:pPr>
      <w:r>
        <w:rPr>
          <w:rFonts w:ascii="宋体" w:hAnsi="宋体"/>
          <w:sz w:val="24"/>
        </w:rPr>
        <w:t>响应文件</w:t>
      </w:r>
      <w:r>
        <w:rPr>
          <w:rFonts w:hint="eastAsia" w:ascii="宋体" w:hAnsi="宋体"/>
          <w:sz w:val="24"/>
        </w:rPr>
        <w:t>提交</w:t>
      </w:r>
      <w:r>
        <w:rPr>
          <w:rFonts w:ascii="宋体" w:hAnsi="宋体"/>
          <w:sz w:val="24"/>
        </w:rPr>
        <w:t>截止的时间即为</w:t>
      </w:r>
      <w:r>
        <w:rPr>
          <w:rFonts w:hint="eastAsia" w:ascii="宋体" w:hAnsi="宋体"/>
          <w:sz w:val="24"/>
        </w:rPr>
        <w:t>谈判会议</w:t>
      </w:r>
      <w:r>
        <w:rPr>
          <w:rFonts w:ascii="宋体" w:hAnsi="宋体"/>
          <w:sz w:val="24"/>
        </w:rPr>
        <w:t>时间：</w:t>
      </w:r>
      <w:r>
        <w:rPr>
          <w:rFonts w:hint="eastAsia" w:ascii="宋体" w:hAnsi="宋体" w:cs="仿宋_GB2312"/>
          <w:spacing w:val="2"/>
          <w:sz w:val="24"/>
          <w:lang w:val="zh-CN"/>
        </w:rPr>
        <w:t>详见前附表</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谈判会议</w:t>
      </w:r>
      <w:r>
        <w:rPr>
          <w:rFonts w:ascii="宋体" w:hAnsi="宋体"/>
          <w:sz w:val="24"/>
        </w:rPr>
        <w:t>地点：</w:t>
      </w:r>
      <w:r>
        <w:rPr>
          <w:rFonts w:hint="eastAsia" w:ascii="宋体" w:hAnsi="宋体" w:cs="仿宋_GB2312"/>
          <w:spacing w:val="2"/>
          <w:sz w:val="24"/>
          <w:lang w:val="zh-CN"/>
        </w:rPr>
        <w:t>详见前附表</w:t>
      </w:r>
      <w:r>
        <w:rPr>
          <w:rFonts w:ascii="宋体" w:hAnsi="宋体"/>
          <w:sz w:val="24"/>
        </w:rPr>
        <w:t>。</w:t>
      </w:r>
    </w:p>
    <w:p>
      <w:pPr>
        <w:snapToGrid w:val="0"/>
        <w:spacing w:line="360" w:lineRule="auto"/>
        <w:ind w:firstLine="482" w:firstLineChars="200"/>
        <w:rPr>
          <w:rFonts w:ascii="宋体" w:hAnsi="宋体"/>
          <w:b/>
          <w:sz w:val="24"/>
        </w:rPr>
      </w:pPr>
      <w:bookmarkStart w:id="49" w:name="_Toc288738345"/>
      <w:bookmarkStart w:id="50" w:name="_Toc288738419"/>
      <w:bookmarkStart w:id="51" w:name="_Toc288738813"/>
      <w:r>
        <w:rPr>
          <w:rFonts w:hint="eastAsia" w:ascii="宋体" w:hAnsi="宋体"/>
          <w:b/>
          <w:sz w:val="24"/>
        </w:rPr>
        <w:t>十七、评审、评定成交方法</w:t>
      </w:r>
      <w:bookmarkEnd w:id="49"/>
      <w:bookmarkEnd w:id="50"/>
      <w:bookmarkEnd w:id="51"/>
    </w:p>
    <w:p>
      <w:pPr>
        <w:spacing w:line="360" w:lineRule="auto"/>
        <w:ind w:firstLine="472" w:firstLineChars="196"/>
        <w:rPr>
          <w:rFonts w:ascii="宋体" w:hAnsi="宋体"/>
          <w:b/>
          <w:sz w:val="24"/>
        </w:rPr>
      </w:pPr>
      <w:bookmarkStart w:id="52" w:name="_Toc288738420"/>
      <w:bookmarkStart w:id="53" w:name="_Toc288738814"/>
      <w:bookmarkStart w:id="54" w:name="_Toc288738346"/>
      <w:r>
        <w:rPr>
          <w:rFonts w:hint="eastAsia" w:ascii="宋体" w:hAnsi="宋体"/>
          <w:b/>
          <w:sz w:val="24"/>
        </w:rPr>
        <w:t>本项目采用最低评标价法，响应文件满足谈判文件全部实质性要求且最终报价最低的两家供应商为入围供应商。</w:t>
      </w:r>
    </w:p>
    <w:p>
      <w:pPr>
        <w:spacing w:line="360" w:lineRule="auto"/>
        <w:ind w:firstLine="472" w:firstLineChars="196"/>
        <w:rPr>
          <w:rFonts w:ascii="宋体" w:hAnsi="宋体"/>
          <w:b/>
          <w:sz w:val="24"/>
        </w:rPr>
      </w:pPr>
      <w:r>
        <w:rPr>
          <w:rFonts w:hint="eastAsia" w:ascii="宋体" w:hAnsi="宋体"/>
          <w:b/>
          <w:sz w:val="24"/>
        </w:rPr>
        <w:t>入围供应商的优惠比例相同的则同时作为中标人。</w:t>
      </w:r>
    </w:p>
    <w:p>
      <w:pPr>
        <w:snapToGrid w:val="0"/>
        <w:spacing w:line="360" w:lineRule="auto"/>
        <w:ind w:firstLine="482" w:firstLineChars="200"/>
        <w:rPr>
          <w:rFonts w:ascii="宋体" w:hAnsi="宋体"/>
          <w:b/>
          <w:sz w:val="24"/>
        </w:rPr>
      </w:pPr>
      <w:r>
        <w:rPr>
          <w:rFonts w:hint="eastAsia" w:ascii="宋体" w:hAnsi="宋体"/>
          <w:b/>
          <w:sz w:val="24"/>
        </w:rPr>
        <w:t>十八、</w:t>
      </w:r>
      <w:bookmarkEnd w:id="52"/>
      <w:bookmarkEnd w:id="53"/>
      <w:bookmarkEnd w:id="54"/>
      <w:r>
        <w:rPr>
          <w:rFonts w:hint="eastAsia" w:ascii="宋体" w:hAnsi="宋体"/>
          <w:b/>
          <w:sz w:val="24"/>
        </w:rPr>
        <w:t>谈判评审会议</w:t>
      </w:r>
    </w:p>
    <w:p>
      <w:pPr>
        <w:snapToGrid w:val="0"/>
        <w:spacing w:line="360" w:lineRule="auto"/>
        <w:ind w:firstLine="480" w:firstLineChars="200"/>
        <w:rPr>
          <w:rFonts w:ascii="宋体" w:hAnsi="宋体"/>
          <w:sz w:val="24"/>
        </w:rPr>
      </w:pPr>
      <w:r>
        <w:rPr>
          <w:rFonts w:hint="eastAsia" w:ascii="宋体" w:hAnsi="宋体"/>
          <w:sz w:val="24"/>
        </w:rPr>
        <w:t>谈判评审</w:t>
      </w:r>
      <w:r>
        <w:rPr>
          <w:rFonts w:ascii="宋体" w:hAnsi="宋体"/>
          <w:sz w:val="24"/>
        </w:rPr>
        <w:t>会议按谈判文件中规定的时间、地点举行，由集中采购机构主持，在有关部门监督下进行。</w:t>
      </w:r>
      <w:r>
        <w:rPr>
          <w:rFonts w:hint="eastAsia" w:ascii="宋体" w:hAnsi="宋体"/>
          <w:sz w:val="24"/>
        </w:rPr>
        <w:t>采购</w:t>
      </w:r>
      <w:r>
        <w:rPr>
          <w:rFonts w:ascii="宋体" w:hAnsi="宋体"/>
          <w:sz w:val="24"/>
        </w:rPr>
        <w:t>人、所有供应商和政府采购管理机关等有关监督部门的代表参加会议。</w:t>
      </w:r>
    </w:p>
    <w:p>
      <w:pPr>
        <w:snapToGrid w:val="0"/>
        <w:spacing w:line="360" w:lineRule="auto"/>
        <w:ind w:firstLine="480" w:firstLineChars="200"/>
        <w:rPr>
          <w:rFonts w:ascii="宋体" w:hAnsi="宋体"/>
          <w:sz w:val="24"/>
        </w:rPr>
      </w:pPr>
      <w:r>
        <w:rPr>
          <w:rFonts w:hint="eastAsia" w:ascii="宋体" w:hAnsi="宋体"/>
          <w:sz w:val="24"/>
        </w:rPr>
        <w:t xml:space="preserve">供应商应由法定代表人或者委托代理人携带身份证明原件准时参加谈判会议，并签名报到以证明其出席。 </w:t>
      </w:r>
    </w:p>
    <w:p>
      <w:pPr>
        <w:snapToGrid w:val="0"/>
        <w:spacing w:line="360" w:lineRule="auto"/>
        <w:ind w:firstLine="482" w:firstLineChars="200"/>
        <w:rPr>
          <w:rFonts w:ascii="宋体" w:hAnsi="宋体"/>
          <w:sz w:val="24"/>
        </w:rPr>
      </w:pPr>
      <w:r>
        <w:rPr>
          <w:rFonts w:hint="eastAsia" w:ascii="宋体" w:hAnsi="宋体"/>
          <w:b/>
          <w:sz w:val="24"/>
        </w:rPr>
        <w:t>十九、</w:t>
      </w:r>
      <w:r>
        <w:rPr>
          <w:rFonts w:hint="eastAsia" w:ascii="宋体" w:hAnsi="宋体"/>
          <w:sz w:val="24"/>
        </w:rPr>
        <w:t>由监督部门会同供应商代表检查响应文件的密封情况，或由公证机关监督</w:t>
      </w:r>
      <w:r>
        <w:rPr>
          <w:rFonts w:ascii="宋体" w:hAnsi="宋体"/>
          <w:sz w:val="24"/>
        </w:rPr>
        <w:t>。</w:t>
      </w:r>
      <w:r>
        <w:rPr>
          <w:rFonts w:hint="eastAsia" w:ascii="宋体" w:hAnsi="宋体"/>
          <w:sz w:val="24"/>
        </w:rPr>
        <w:t>检查完毕后，供应商退场，由谈判小组开始组织评审。</w:t>
      </w:r>
    </w:p>
    <w:p>
      <w:pPr>
        <w:snapToGrid w:val="0"/>
        <w:spacing w:line="360" w:lineRule="auto"/>
        <w:ind w:firstLine="482" w:firstLineChars="200"/>
        <w:rPr>
          <w:rFonts w:ascii="宋体" w:hAnsi="宋体"/>
          <w:sz w:val="24"/>
        </w:rPr>
      </w:pPr>
      <w:bookmarkStart w:id="55" w:name="_Toc288738348"/>
      <w:bookmarkStart w:id="56" w:name="_Toc288738422"/>
      <w:bookmarkStart w:id="57" w:name="_Toc288738816"/>
      <w:r>
        <w:rPr>
          <w:rFonts w:hint="eastAsia" w:ascii="宋体" w:hAnsi="宋体"/>
          <w:b/>
          <w:sz w:val="24"/>
        </w:rPr>
        <w:t>二十、</w:t>
      </w:r>
      <w:r>
        <w:rPr>
          <w:rFonts w:hint="eastAsia" w:ascii="宋体" w:hAnsi="宋体"/>
          <w:sz w:val="24"/>
        </w:rPr>
        <w:t>集中采购机构在响应文件提交截止时间前收到的所有合格响应文件，谈判评审时都予以拆封，集中采购机构对谈判评审过程予以记录。</w:t>
      </w:r>
      <w:bookmarkEnd w:id="55"/>
      <w:bookmarkEnd w:id="56"/>
      <w:bookmarkEnd w:id="57"/>
    </w:p>
    <w:p>
      <w:pPr>
        <w:snapToGrid w:val="0"/>
        <w:spacing w:line="360" w:lineRule="auto"/>
        <w:ind w:firstLine="482" w:firstLineChars="200"/>
        <w:rPr>
          <w:rFonts w:ascii="宋体" w:hAnsi="宋体"/>
          <w:b/>
          <w:sz w:val="24"/>
        </w:rPr>
      </w:pPr>
      <w:bookmarkStart w:id="58" w:name="_Toc288738817"/>
      <w:bookmarkStart w:id="59" w:name="_Toc288738349"/>
      <w:bookmarkStart w:id="60" w:name="_Toc288738423"/>
      <w:r>
        <w:rPr>
          <w:rFonts w:hint="eastAsia" w:ascii="宋体" w:hAnsi="宋体"/>
          <w:b/>
          <w:sz w:val="24"/>
        </w:rPr>
        <w:t>二十一、响应文件出现下列情况之一的，将作为无效响应文件处理，无效响应文件不予参加评审。</w:t>
      </w:r>
      <w:bookmarkEnd w:id="58"/>
      <w:bookmarkEnd w:id="59"/>
      <w:bookmarkEnd w:id="60"/>
    </w:p>
    <w:p>
      <w:pPr>
        <w:snapToGrid w:val="0"/>
        <w:spacing w:line="360" w:lineRule="auto"/>
        <w:ind w:firstLine="480" w:firstLineChars="200"/>
        <w:rPr>
          <w:rFonts w:ascii="宋体" w:hAnsi="宋体"/>
          <w:sz w:val="24"/>
        </w:rPr>
      </w:pPr>
      <w:r>
        <w:rPr>
          <w:rFonts w:hint="eastAsia" w:ascii="宋体" w:hAnsi="宋体"/>
          <w:sz w:val="24"/>
        </w:rPr>
        <w:t>1、响应文件未按规评定成交志、密封、盖章的；</w:t>
      </w:r>
    </w:p>
    <w:p>
      <w:pPr>
        <w:snapToGrid w:val="0"/>
        <w:spacing w:line="360" w:lineRule="auto"/>
        <w:ind w:firstLine="480" w:firstLineChars="200"/>
        <w:rPr>
          <w:rFonts w:ascii="宋体" w:hAnsi="宋体"/>
          <w:sz w:val="24"/>
        </w:rPr>
      </w:pPr>
      <w:r>
        <w:rPr>
          <w:rFonts w:hint="eastAsia" w:ascii="宋体" w:hAnsi="宋体"/>
          <w:sz w:val="24"/>
        </w:rPr>
        <w:t>2、响应文件未加盖供应商公章的；</w:t>
      </w:r>
    </w:p>
    <w:p>
      <w:pPr>
        <w:snapToGrid w:val="0"/>
        <w:spacing w:line="360" w:lineRule="auto"/>
        <w:ind w:firstLine="480" w:firstLineChars="200"/>
        <w:rPr>
          <w:rFonts w:ascii="宋体" w:hAnsi="宋体"/>
          <w:sz w:val="24"/>
        </w:rPr>
      </w:pPr>
      <w:r>
        <w:rPr>
          <w:rFonts w:hint="eastAsia" w:ascii="宋体" w:hAnsi="宋体"/>
          <w:sz w:val="24"/>
        </w:rPr>
        <w:t>3、授权委托书无供应商公章、法定代表人的印鉴（或签名），或委托书非原件的；</w:t>
      </w:r>
    </w:p>
    <w:p>
      <w:pPr>
        <w:snapToGrid w:val="0"/>
        <w:spacing w:line="360" w:lineRule="auto"/>
        <w:ind w:firstLine="480" w:firstLineChars="200"/>
        <w:rPr>
          <w:rFonts w:ascii="宋体" w:hAnsi="宋体"/>
          <w:sz w:val="24"/>
        </w:rPr>
      </w:pPr>
      <w:r>
        <w:rPr>
          <w:rFonts w:hint="eastAsia" w:ascii="宋体" w:hAnsi="宋体"/>
          <w:sz w:val="24"/>
        </w:rPr>
        <w:t>4、供应商未通过报名的或者在名称上和法人地位上与报名情况发生实质性的改变的；</w:t>
      </w:r>
    </w:p>
    <w:p>
      <w:pPr>
        <w:snapToGrid w:val="0"/>
        <w:spacing w:line="360" w:lineRule="auto"/>
        <w:ind w:firstLine="480" w:firstLineChars="200"/>
        <w:rPr>
          <w:rFonts w:ascii="宋体" w:hAnsi="宋体"/>
          <w:sz w:val="24"/>
        </w:rPr>
      </w:pPr>
      <w:r>
        <w:rPr>
          <w:rFonts w:hint="eastAsia" w:ascii="宋体" w:hAnsi="宋体"/>
          <w:sz w:val="24"/>
        </w:rPr>
        <w:t>5、供应商不符合谈判文件中规定资格要求的，或者资格要求证明材料提供不齐全的；</w:t>
      </w:r>
    </w:p>
    <w:p>
      <w:pPr>
        <w:snapToGrid w:val="0"/>
        <w:spacing w:line="360" w:lineRule="auto"/>
        <w:ind w:firstLine="480" w:firstLineChars="200"/>
        <w:rPr>
          <w:rFonts w:ascii="宋体" w:hAnsi="宋体"/>
          <w:sz w:val="24"/>
        </w:rPr>
      </w:pPr>
      <w:r>
        <w:rPr>
          <w:rFonts w:hint="eastAsia" w:ascii="宋体" w:hAnsi="宋体"/>
          <w:sz w:val="24"/>
        </w:rPr>
        <w:t>6、响应文件未按谈判文件规定的格式、内容和要求编制，响应文件字迹潦草、模糊、难以辨认；</w:t>
      </w:r>
    </w:p>
    <w:p>
      <w:pPr>
        <w:snapToGrid w:val="0"/>
        <w:spacing w:line="360" w:lineRule="auto"/>
        <w:ind w:firstLine="480" w:firstLineChars="200"/>
        <w:rPr>
          <w:rFonts w:ascii="宋体" w:hAnsi="宋体"/>
          <w:sz w:val="24"/>
        </w:rPr>
      </w:pPr>
      <w:r>
        <w:rPr>
          <w:rFonts w:hint="eastAsia" w:ascii="宋体" w:hAnsi="宋体"/>
          <w:sz w:val="24"/>
        </w:rPr>
        <w:t>7、供应商在一份响应文件中，对同一采购项目报有两个或多个报价，且未书面确定以哪个报价为准的；</w:t>
      </w:r>
    </w:p>
    <w:p>
      <w:pPr>
        <w:snapToGrid w:val="0"/>
        <w:spacing w:line="360" w:lineRule="auto"/>
        <w:ind w:firstLine="480" w:firstLineChars="200"/>
        <w:rPr>
          <w:rFonts w:ascii="宋体" w:hAnsi="宋体"/>
          <w:sz w:val="24"/>
        </w:rPr>
      </w:pPr>
      <w:r>
        <w:rPr>
          <w:rFonts w:hint="eastAsia" w:ascii="宋体" w:hAnsi="宋体"/>
          <w:sz w:val="24"/>
        </w:rPr>
        <w:t>8、供应商在谈判报价中存在严重错误，并影响对其他供应商的评分的；</w:t>
      </w:r>
    </w:p>
    <w:p>
      <w:pPr>
        <w:snapToGrid w:val="0"/>
        <w:spacing w:line="360" w:lineRule="auto"/>
        <w:ind w:firstLine="480" w:firstLineChars="200"/>
        <w:rPr>
          <w:rFonts w:ascii="宋体" w:hAnsi="宋体"/>
          <w:sz w:val="24"/>
        </w:rPr>
      </w:pPr>
      <w:r>
        <w:rPr>
          <w:rFonts w:hint="eastAsia" w:ascii="宋体" w:hAnsi="宋体"/>
          <w:sz w:val="24"/>
        </w:rPr>
        <w:t>9、响应文件材料所述情况和所附相关资料不实的；</w:t>
      </w:r>
    </w:p>
    <w:p>
      <w:pPr>
        <w:snapToGrid w:val="0"/>
        <w:spacing w:line="360" w:lineRule="auto"/>
        <w:ind w:firstLine="480" w:firstLineChars="200"/>
        <w:rPr>
          <w:rFonts w:ascii="宋体" w:hAnsi="宋体"/>
          <w:sz w:val="24"/>
        </w:rPr>
      </w:pPr>
      <w:r>
        <w:rPr>
          <w:rFonts w:hint="eastAsia" w:ascii="宋体" w:hAnsi="宋体"/>
          <w:sz w:val="24"/>
        </w:rPr>
        <w:t>10、供应商以他人的名义投标、串通投标、以行贿手段谋取中标或者以其他弄虚作假方式投标的。</w:t>
      </w:r>
    </w:p>
    <w:p>
      <w:pPr>
        <w:snapToGrid w:val="0"/>
        <w:spacing w:line="360" w:lineRule="auto"/>
        <w:ind w:firstLine="480" w:firstLineChars="200"/>
        <w:rPr>
          <w:rFonts w:ascii="宋体" w:hAnsi="宋体"/>
          <w:sz w:val="24"/>
        </w:rPr>
      </w:pPr>
      <w:r>
        <w:rPr>
          <w:rFonts w:hint="eastAsia" w:ascii="宋体" w:hAnsi="宋体"/>
          <w:sz w:val="24"/>
        </w:rPr>
        <w:t>11、逾期送达的响应文件；</w:t>
      </w:r>
    </w:p>
    <w:p>
      <w:pPr>
        <w:snapToGrid w:val="0"/>
        <w:spacing w:line="360" w:lineRule="auto"/>
        <w:ind w:firstLine="480" w:firstLineChars="200"/>
        <w:rPr>
          <w:rFonts w:ascii="宋体" w:hAnsi="宋体"/>
          <w:sz w:val="24"/>
        </w:rPr>
      </w:pPr>
      <w:r>
        <w:rPr>
          <w:rFonts w:hint="eastAsia" w:ascii="宋体" w:hAnsi="宋体"/>
          <w:sz w:val="24"/>
        </w:rPr>
        <w:t>12、未按谈判文件要求缴纳谈判保证金的；</w:t>
      </w:r>
    </w:p>
    <w:p>
      <w:pPr>
        <w:snapToGrid w:val="0"/>
        <w:spacing w:line="360" w:lineRule="auto"/>
        <w:ind w:firstLine="480" w:firstLineChars="200"/>
        <w:rPr>
          <w:rFonts w:ascii="宋体" w:hAnsi="宋体"/>
          <w:sz w:val="24"/>
        </w:rPr>
      </w:pPr>
      <w:r>
        <w:rPr>
          <w:rFonts w:hint="eastAsia" w:ascii="宋体" w:hAnsi="宋体"/>
          <w:sz w:val="24"/>
        </w:rPr>
        <w:t>13、供应商的最终谈判报价超出采购预算或者最高限价的；</w:t>
      </w:r>
    </w:p>
    <w:p>
      <w:pPr>
        <w:snapToGrid w:val="0"/>
        <w:spacing w:line="360" w:lineRule="auto"/>
        <w:ind w:firstLine="480" w:firstLineChars="200"/>
        <w:rPr>
          <w:rFonts w:ascii="宋体" w:hAnsi="宋体"/>
          <w:sz w:val="24"/>
        </w:rPr>
      </w:pPr>
      <w:r>
        <w:rPr>
          <w:rFonts w:hint="eastAsia" w:ascii="宋体" w:hAnsi="宋体"/>
          <w:sz w:val="24"/>
        </w:rPr>
        <w:t>14、谈判文件明确规定无效的其他情形，或者其他被谈判小组认定无效的情况；</w:t>
      </w:r>
    </w:p>
    <w:p>
      <w:pPr>
        <w:snapToGrid w:val="0"/>
        <w:spacing w:line="360" w:lineRule="auto"/>
        <w:ind w:firstLine="480" w:firstLineChars="200"/>
        <w:rPr>
          <w:rFonts w:ascii="宋体" w:hAnsi="宋体"/>
          <w:sz w:val="24"/>
        </w:rPr>
      </w:pPr>
      <w:r>
        <w:rPr>
          <w:rFonts w:hint="eastAsia" w:ascii="宋体" w:hAnsi="宋体"/>
          <w:sz w:val="24"/>
        </w:rPr>
        <w:t>15、不符合法律、法规和谈判文件规定的其他实质性要求的。</w:t>
      </w:r>
    </w:p>
    <w:p>
      <w:pPr>
        <w:snapToGrid w:val="0"/>
        <w:spacing w:line="360" w:lineRule="auto"/>
        <w:ind w:firstLine="482" w:firstLineChars="200"/>
        <w:rPr>
          <w:rFonts w:ascii="宋体" w:hAnsi="宋体"/>
          <w:b/>
          <w:sz w:val="24"/>
        </w:rPr>
      </w:pPr>
      <w:bookmarkStart w:id="61" w:name="_Toc288738424"/>
      <w:bookmarkStart w:id="62" w:name="_Toc288738350"/>
      <w:bookmarkStart w:id="63" w:name="_Toc288738818"/>
      <w:r>
        <w:rPr>
          <w:rFonts w:hint="eastAsia" w:ascii="宋体" w:hAnsi="宋体"/>
          <w:b/>
          <w:sz w:val="24"/>
        </w:rPr>
        <w:t>二十二、评审、评定成交</w:t>
      </w:r>
      <w:bookmarkEnd w:id="61"/>
      <w:bookmarkEnd w:id="62"/>
      <w:bookmarkEnd w:id="63"/>
    </w:p>
    <w:p>
      <w:pPr>
        <w:snapToGrid w:val="0"/>
        <w:spacing w:line="360" w:lineRule="auto"/>
        <w:ind w:firstLine="480" w:firstLineChars="200"/>
        <w:rPr>
          <w:rFonts w:ascii="宋体" w:hAnsi="宋体"/>
          <w:sz w:val="24"/>
        </w:rPr>
      </w:pPr>
      <w:r>
        <w:rPr>
          <w:rFonts w:ascii="宋体" w:hAnsi="宋体"/>
          <w:sz w:val="24"/>
        </w:rPr>
        <w:t>评</w:t>
      </w:r>
      <w:r>
        <w:rPr>
          <w:rFonts w:hint="eastAsia" w:ascii="宋体" w:hAnsi="宋体"/>
          <w:sz w:val="24"/>
        </w:rPr>
        <w:t>审</w:t>
      </w:r>
      <w:r>
        <w:rPr>
          <w:rFonts w:ascii="宋体" w:hAnsi="宋体"/>
          <w:sz w:val="24"/>
        </w:rPr>
        <w:t>由集中采购机构依法组建的</w:t>
      </w:r>
      <w:r>
        <w:rPr>
          <w:rFonts w:hint="eastAsia" w:ascii="宋体" w:hAnsi="宋体"/>
          <w:sz w:val="24"/>
        </w:rPr>
        <w:t>谈判小组</w:t>
      </w:r>
      <w:r>
        <w:rPr>
          <w:rFonts w:ascii="宋体" w:hAnsi="宋体"/>
          <w:sz w:val="24"/>
        </w:rPr>
        <w:t>负责。</w:t>
      </w:r>
      <w:r>
        <w:rPr>
          <w:rFonts w:hint="eastAsia" w:ascii="宋体" w:hAnsi="宋体"/>
          <w:sz w:val="24"/>
        </w:rPr>
        <w:t>由谈判</w:t>
      </w:r>
      <w:r>
        <w:rPr>
          <w:rFonts w:ascii="宋体" w:hAnsi="宋体"/>
          <w:sz w:val="24"/>
        </w:rPr>
        <w:t>小组</w:t>
      </w:r>
      <w:r>
        <w:rPr>
          <w:rFonts w:hint="eastAsia" w:ascii="宋体" w:hAnsi="宋体"/>
          <w:sz w:val="24"/>
        </w:rPr>
        <w:t>出具</w:t>
      </w:r>
      <w:r>
        <w:rPr>
          <w:rFonts w:ascii="宋体" w:hAnsi="宋体"/>
          <w:sz w:val="24"/>
        </w:rPr>
        <w:t>书面评</w:t>
      </w:r>
      <w:r>
        <w:rPr>
          <w:rFonts w:hint="eastAsia" w:ascii="宋体" w:hAnsi="宋体"/>
          <w:sz w:val="24"/>
        </w:rPr>
        <w:t>审</w:t>
      </w:r>
      <w:r>
        <w:rPr>
          <w:rFonts w:ascii="宋体" w:hAnsi="宋体"/>
          <w:sz w:val="24"/>
        </w:rPr>
        <w:t>报告</w:t>
      </w:r>
      <w:r>
        <w:rPr>
          <w:rFonts w:hint="eastAsia" w:ascii="宋体" w:hAnsi="宋体"/>
          <w:sz w:val="24"/>
        </w:rPr>
        <w:t>并推荐成交供应商</w:t>
      </w:r>
      <w:r>
        <w:rPr>
          <w:rFonts w:ascii="宋体" w:hAnsi="宋体"/>
          <w:sz w:val="24"/>
        </w:rPr>
        <w:t>。</w:t>
      </w:r>
    </w:p>
    <w:p>
      <w:pPr>
        <w:snapToGrid w:val="0"/>
        <w:spacing w:line="360" w:lineRule="auto"/>
        <w:ind w:firstLine="482" w:firstLineChars="200"/>
        <w:rPr>
          <w:rFonts w:ascii="宋体" w:hAnsi="宋体"/>
          <w:b/>
          <w:sz w:val="24"/>
        </w:rPr>
      </w:pPr>
      <w:bookmarkStart w:id="64" w:name="_Toc288738425"/>
      <w:bookmarkStart w:id="65" w:name="_Toc288738351"/>
      <w:bookmarkStart w:id="66" w:name="_Toc288738819"/>
      <w:r>
        <w:rPr>
          <w:rFonts w:hint="eastAsia" w:ascii="宋体" w:hAnsi="宋体"/>
          <w:b/>
          <w:sz w:val="24"/>
        </w:rPr>
        <w:t>二十三、响应文件的澄清</w:t>
      </w:r>
      <w:bookmarkEnd w:id="64"/>
      <w:bookmarkEnd w:id="65"/>
      <w:bookmarkEnd w:id="66"/>
    </w:p>
    <w:p>
      <w:pPr>
        <w:snapToGrid w:val="0"/>
        <w:spacing w:line="360" w:lineRule="auto"/>
        <w:ind w:firstLine="480" w:firstLineChars="200"/>
        <w:rPr>
          <w:rFonts w:ascii="宋体" w:hAnsi="宋体"/>
          <w:sz w:val="24"/>
        </w:rPr>
      </w:pPr>
      <w:r>
        <w:rPr>
          <w:rFonts w:hint="eastAsia" w:ascii="宋体" w:hAnsi="宋体"/>
          <w:sz w:val="24"/>
        </w:rPr>
        <w:t>1、为了有助于响应文件的审查、评价和比较，</w:t>
      </w:r>
      <w:r>
        <w:rPr>
          <w:rFonts w:ascii="宋体" w:hAnsi="宋体"/>
          <w:sz w:val="24"/>
        </w:rPr>
        <w:t>谈判小组</w:t>
      </w:r>
      <w:r>
        <w:rPr>
          <w:rFonts w:hint="eastAsia" w:ascii="宋体" w:hAnsi="宋体"/>
          <w:sz w:val="24"/>
        </w:rPr>
        <w:t>可以书面方式要求供应商对响应文件中含义不明确、对同类问题表述不一致或者明显文字和计算错误的内容作必要的澄清、说明或者补正。</w:t>
      </w:r>
    </w:p>
    <w:p>
      <w:pPr>
        <w:snapToGrid w:val="0"/>
        <w:spacing w:line="360" w:lineRule="auto"/>
        <w:ind w:firstLine="480" w:firstLineChars="200"/>
        <w:rPr>
          <w:rFonts w:ascii="宋体" w:hAnsi="宋体"/>
          <w:sz w:val="24"/>
        </w:rPr>
      </w:pPr>
      <w:r>
        <w:rPr>
          <w:rFonts w:hint="eastAsia" w:ascii="宋体" w:hAnsi="宋体"/>
          <w:sz w:val="24"/>
        </w:rPr>
        <w:t>2、响应文件中的大写金额和小写金额不一致时的，以大写金额为准；单价乘数量不等于总价，数量符合谈判文件要求，以单价计算金额为准；单价金额小数点有明细错位的，应以总价为准，并修改单价；</w:t>
      </w:r>
      <w:r>
        <w:rPr>
          <w:rFonts w:hint="eastAsia" w:ascii="宋体" w:hAnsi="宋体"/>
          <w:b/>
          <w:sz w:val="24"/>
        </w:rPr>
        <w:t>缺项漏项或者数量不符合谈判文件要求的作为无效响应文件处理；</w:t>
      </w:r>
      <w:r>
        <w:rPr>
          <w:rFonts w:hint="eastAsia" w:ascii="宋体" w:hAnsi="宋体"/>
          <w:sz w:val="24"/>
        </w:rPr>
        <w:t>对不同文字文本响应文件的解释发生异议的，以中文文本为准。</w:t>
      </w:r>
    </w:p>
    <w:p>
      <w:pPr>
        <w:snapToGrid w:val="0"/>
        <w:spacing w:line="360" w:lineRule="auto"/>
        <w:ind w:firstLine="480" w:firstLineChars="200"/>
        <w:rPr>
          <w:rFonts w:ascii="宋体" w:hAnsi="宋体"/>
          <w:sz w:val="24"/>
        </w:rPr>
      </w:pPr>
      <w:r>
        <w:rPr>
          <w:rFonts w:hint="eastAsia" w:ascii="宋体" w:hAnsi="宋体"/>
          <w:sz w:val="24"/>
        </w:rPr>
        <w:t>3、所有澄清或说明必须以书面方式正式为之，由法定代表人或其代理人的签名或盖章。</w:t>
      </w:r>
    </w:p>
    <w:p>
      <w:pPr>
        <w:snapToGrid w:val="0"/>
        <w:spacing w:line="360" w:lineRule="auto"/>
        <w:ind w:firstLine="480" w:firstLineChars="200"/>
        <w:rPr>
          <w:rFonts w:ascii="宋体" w:hAnsi="宋体"/>
          <w:sz w:val="24"/>
        </w:rPr>
      </w:pPr>
      <w:r>
        <w:rPr>
          <w:rFonts w:hint="eastAsia" w:ascii="宋体" w:hAnsi="宋体"/>
          <w:sz w:val="24"/>
        </w:rPr>
        <w:t>4、供应商拒不按照谈判小组要求作出澄清、说明或者补正的，作为无效响应处理。</w:t>
      </w:r>
    </w:p>
    <w:p>
      <w:pPr>
        <w:snapToGrid w:val="0"/>
        <w:spacing w:line="360" w:lineRule="auto"/>
        <w:ind w:firstLine="482" w:firstLineChars="200"/>
        <w:rPr>
          <w:rFonts w:ascii="宋体" w:hAnsi="宋体"/>
          <w:b/>
          <w:sz w:val="24"/>
        </w:rPr>
      </w:pPr>
      <w:bookmarkStart w:id="67" w:name="_Toc288738352"/>
      <w:bookmarkStart w:id="68" w:name="_Toc288738820"/>
      <w:bookmarkStart w:id="69" w:name="_Toc288738426"/>
      <w:r>
        <w:rPr>
          <w:rFonts w:hint="eastAsia" w:ascii="宋体" w:hAnsi="宋体"/>
          <w:b/>
          <w:sz w:val="24"/>
        </w:rPr>
        <w:t>二十四、评审中作为终止竞争性谈判活动的情况</w:t>
      </w:r>
      <w:bookmarkEnd w:id="67"/>
      <w:bookmarkEnd w:id="68"/>
      <w:bookmarkEnd w:id="69"/>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因情况变化，不再符合规定的竞争性谈判采购方式适用情形的</w:t>
      </w:r>
    </w:p>
    <w:p>
      <w:pPr>
        <w:snapToGrid w:val="0"/>
        <w:spacing w:line="360" w:lineRule="auto"/>
        <w:ind w:firstLine="480" w:firstLineChars="200"/>
        <w:rPr>
          <w:rFonts w:ascii="宋体" w:hAnsi="宋体"/>
          <w:sz w:val="24"/>
        </w:rPr>
      </w:pPr>
      <w:r>
        <w:rPr>
          <w:rFonts w:ascii="宋体" w:hAnsi="宋体"/>
          <w:sz w:val="24"/>
        </w:rPr>
        <w:t>2、出现影响采购公正的违法、违规行为的；</w:t>
      </w:r>
    </w:p>
    <w:p>
      <w:pPr>
        <w:snapToGrid w:val="0"/>
        <w:spacing w:line="360" w:lineRule="auto"/>
        <w:ind w:firstLine="480" w:firstLineChars="200"/>
        <w:rPr>
          <w:rFonts w:ascii="宋体" w:hAnsi="宋体"/>
          <w:sz w:val="24"/>
        </w:rPr>
      </w:pPr>
      <w:r>
        <w:rPr>
          <w:rFonts w:ascii="宋体" w:hAnsi="宋体"/>
          <w:sz w:val="24"/>
        </w:rPr>
        <w:t>3、供应商的报价均超过了采购预算，采购人不能支付的；</w:t>
      </w:r>
    </w:p>
    <w:p>
      <w:pPr>
        <w:snapToGrid w:val="0"/>
        <w:spacing w:line="360" w:lineRule="auto"/>
        <w:ind w:firstLine="480" w:firstLineChars="200"/>
        <w:rPr>
          <w:rFonts w:ascii="宋体" w:hAnsi="宋体"/>
          <w:sz w:val="24"/>
        </w:rPr>
      </w:pPr>
      <w:r>
        <w:rPr>
          <w:rFonts w:ascii="宋体" w:hAnsi="宋体"/>
          <w:sz w:val="24"/>
        </w:rPr>
        <w:t>4、因重大变故，采购任务取消的。</w:t>
      </w:r>
    </w:p>
    <w:p>
      <w:pPr>
        <w:snapToGrid w:val="0"/>
        <w:spacing w:line="360" w:lineRule="auto"/>
        <w:ind w:firstLine="482" w:firstLineChars="200"/>
        <w:rPr>
          <w:rFonts w:ascii="宋体" w:hAnsi="宋体"/>
          <w:b/>
          <w:sz w:val="24"/>
        </w:rPr>
      </w:pPr>
      <w:bookmarkStart w:id="70" w:name="_Toc288738822"/>
      <w:bookmarkStart w:id="71" w:name="_Toc288738354"/>
      <w:bookmarkStart w:id="72" w:name="_Toc288738428"/>
      <w:r>
        <w:rPr>
          <w:rFonts w:hint="eastAsia" w:ascii="宋体" w:hAnsi="宋体"/>
          <w:b/>
          <w:sz w:val="24"/>
        </w:rPr>
        <w:t>二十六、授予合同，合同条款</w:t>
      </w:r>
      <w:bookmarkEnd w:id="70"/>
      <w:bookmarkEnd w:id="71"/>
      <w:bookmarkEnd w:id="72"/>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成交供应商应当在成交公告发出之日起的三十日内与采购人签订合同。</w:t>
      </w:r>
    </w:p>
    <w:p>
      <w:pPr>
        <w:snapToGrid w:val="0"/>
        <w:spacing w:line="360" w:lineRule="auto"/>
        <w:ind w:firstLine="480" w:firstLineChars="200"/>
        <w:rPr>
          <w:rFonts w:ascii="宋体" w:hAnsi="宋体"/>
          <w:sz w:val="24"/>
        </w:rPr>
      </w:pPr>
      <w:r>
        <w:rPr>
          <w:rFonts w:ascii="宋体" w:hAnsi="宋体"/>
          <w:sz w:val="24"/>
        </w:rPr>
        <w:t>2、成交供应商应按</w:t>
      </w:r>
      <w:r>
        <w:rPr>
          <w:rFonts w:hint="eastAsia" w:ascii="宋体" w:hAnsi="宋体"/>
          <w:sz w:val="24"/>
        </w:rPr>
        <w:t>采购人要求</w:t>
      </w:r>
      <w:r>
        <w:rPr>
          <w:rFonts w:ascii="宋体" w:hAnsi="宋体"/>
          <w:sz w:val="24"/>
        </w:rPr>
        <w:t>的时间、地点派代表前来与</w:t>
      </w:r>
      <w:r>
        <w:rPr>
          <w:rFonts w:hint="eastAsia" w:ascii="宋体" w:hAnsi="宋体"/>
          <w:sz w:val="24"/>
        </w:rPr>
        <w:t>采购</w:t>
      </w:r>
      <w:r>
        <w:rPr>
          <w:rFonts w:ascii="宋体" w:hAnsi="宋体"/>
          <w:sz w:val="24"/>
        </w:rPr>
        <w:t>人具体商谈签订合同。谈判文件、成交供应商的响应文件及澄清文件等，均为签订合同的依据。</w:t>
      </w:r>
    </w:p>
    <w:p>
      <w:pPr>
        <w:snapToGrid w:val="0"/>
        <w:spacing w:line="360" w:lineRule="auto"/>
        <w:ind w:firstLine="480" w:firstLineChars="200"/>
        <w:rPr>
          <w:rFonts w:ascii="宋体" w:hAnsi="宋体"/>
          <w:sz w:val="24"/>
        </w:rPr>
      </w:pPr>
      <w:r>
        <w:rPr>
          <w:rFonts w:hint="eastAsia" w:ascii="宋体" w:hAnsi="宋体"/>
          <w:sz w:val="24"/>
        </w:rPr>
        <w:t>3、采购</w:t>
      </w:r>
      <w:r>
        <w:rPr>
          <w:rFonts w:ascii="宋体" w:hAnsi="宋体"/>
          <w:sz w:val="24"/>
        </w:rPr>
        <w:t>人在授予合同时有权对“响应文件”中的货物及配置在</w:t>
      </w:r>
      <w:r>
        <w:rPr>
          <w:rFonts w:hint="eastAsia" w:ascii="宋体" w:hAnsi="宋体"/>
          <w:sz w:val="24"/>
        </w:rPr>
        <w:t>合法</w:t>
      </w:r>
      <w:r>
        <w:rPr>
          <w:rFonts w:ascii="宋体" w:hAnsi="宋体"/>
          <w:sz w:val="24"/>
        </w:rPr>
        <w:t>范围内进行调整。</w:t>
      </w:r>
    </w:p>
    <w:p>
      <w:pPr>
        <w:spacing w:line="360" w:lineRule="auto"/>
        <w:ind w:firstLine="472" w:firstLineChars="196"/>
        <w:rPr>
          <w:rFonts w:ascii="宋体" w:hAnsi="宋体"/>
          <w:b/>
          <w:sz w:val="24"/>
        </w:rPr>
      </w:pPr>
      <w:r>
        <w:rPr>
          <w:rFonts w:hint="eastAsia" w:ascii="宋体" w:hAnsi="宋体"/>
          <w:b/>
          <w:sz w:val="24"/>
        </w:rPr>
        <w:t>入围供应商的优惠比例不一致时，以其中的较低价为基准，若高价入围者承诺给予同样的低价优惠比例，则甲方以两个入围投标人共同承诺的低价优惠比例与两者共同签订合同。</w:t>
      </w:r>
    </w:p>
    <w:p>
      <w:pPr>
        <w:spacing w:line="360" w:lineRule="auto"/>
        <w:ind w:firstLine="480" w:firstLineChars="200"/>
        <w:rPr>
          <w:rFonts w:ascii="宋体" w:hAnsi="宋体"/>
          <w:sz w:val="24"/>
        </w:rPr>
      </w:pPr>
      <w:r>
        <w:rPr>
          <w:rFonts w:hint="eastAsia" w:ascii="宋体" w:hAnsi="宋体"/>
          <w:sz w:val="24"/>
        </w:rPr>
        <w:t>4、成交供应商因不可抗力导致无法按期签订合同的，应当在不可抗力发生之日起5日内提出，并提供书面证据，采购人及成交供应商互不承担任何责任及损失。如成交供应商无正当理由未按期签订合同的，视为自动放弃中标资格，并承担违约责任。</w:t>
      </w:r>
    </w:p>
    <w:p>
      <w:pPr>
        <w:snapToGrid w:val="0"/>
        <w:spacing w:line="360" w:lineRule="auto"/>
        <w:ind w:firstLine="482" w:firstLineChars="200"/>
        <w:rPr>
          <w:rFonts w:ascii="宋体" w:hAnsi="宋体"/>
          <w:b/>
          <w:sz w:val="24"/>
        </w:rPr>
      </w:pPr>
    </w:p>
    <w:p>
      <w:pPr>
        <w:snapToGrid w:val="0"/>
        <w:spacing w:line="360" w:lineRule="auto"/>
        <w:ind w:firstLine="482" w:firstLineChars="200"/>
        <w:rPr>
          <w:rFonts w:ascii="宋体" w:hAnsi="宋体"/>
          <w:b/>
          <w:color w:val="FF0000"/>
          <w:sz w:val="24"/>
        </w:rPr>
      </w:pPr>
      <w:r>
        <w:rPr>
          <w:rFonts w:hint="eastAsia" w:ascii="宋体" w:hAnsi="宋体"/>
          <w:b/>
          <w:color w:val="FF0000"/>
          <w:sz w:val="24"/>
        </w:rPr>
        <w:t>5</w:t>
      </w:r>
      <w:r>
        <w:rPr>
          <w:rFonts w:ascii="宋体" w:hAnsi="宋体"/>
          <w:b/>
          <w:color w:val="FF0000"/>
          <w:sz w:val="24"/>
        </w:rPr>
        <w:t>、货款支付：</w:t>
      </w:r>
      <w:r>
        <w:rPr>
          <w:rFonts w:hint="eastAsia" w:ascii="宋体" w:hAnsi="宋体" w:cs="宋体"/>
          <w:color w:val="FF0000"/>
          <w:sz w:val="24"/>
        </w:rPr>
        <w:t>审定后付至审定价的95%，5%质保金，审定后满一年付清。</w:t>
      </w:r>
    </w:p>
    <w:p>
      <w:pPr>
        <w:snapToGrid w:val="0"/>
        <w:spacing w:line="360" w:lineRule="auto"/>
        <w:ind w:firstLine="480" w:firstLineChars="200"/>
        <w:rPr>
          <w:rFonts w:ascii="宋体" w:hAnsi="宋体"/>
          <w:sz w:val="24"/>
        </w:rPr>
      </w:pPr>
    </w:p>
    <w:p>
      <w:pPr>
        <w:pStyle w:val="2"/>
        <w:numPr>
          <w:ilvl w:val="0"/>
          <w:numId w:val="0"/>
        </w:numPr>
        <w:snapToGrid w:val="0"/>
        <w:spacing w:line="360" w:lineRule="auto"/>
        <w:rPr>
          <w:rFonts w:ascii="宋体" w:hAnsi="宋体" w:eastAsia="宋体"/>
          <w:sz w:val="40"/>
        </w:rPr>
      </w:pPr>
      <w:bookmarkStart w:id="73" w:name="_Toc288738824"/>
      <w:bookmarkStart w:id="74" w:name="_Toc288738355"/>
      <w:bookmarkStart w:id="75" w:name="_Toc430158357"/>
      <w:bookmarkStart w:id="76" w:name="_Toc288738833"/>
      <w:bookmarkStart w:id="77" w:name="_Toc288738391"/>
      <w:bookmarkStart w:id="78" w:name="_Toc288767601"/>
      <w:r>
        <w:rPr>
          <w:rFonts w:hint="eastAsia" w:ascii="宋体" w:hAnsi="宋体" w:eastAsia="宋体"/>
          <w:sz w:val="40"/>
        </w:rPr>
        <w:t xml:space="preserve">第六章 </w:t>
      </w:r>
      <w:bookmarkEnd w:id="73"/>
      <w:bookmarkEnd w:id="74"/>
      <w:r>
        <w:rPr>
          <w:rFonts w:hint="eastAsia" w:ascii="宋体" w:hAnsi="宋体" w:eastAsia="宋体"/>
          <w:sz w:val="40"/>
        </w:rPr>
        <w:t>采购内容及要求</w:t>
      </w:r>
      <w:bookmarkEnd w:id="75"/>
    </w:p>
    <w:p>
      <w:pPr>
        <w:pStyle w:val="5"/>
        <w:overflowPunct w:val="0"/>
        <w:ind w:firstLine="482"/>
        <w:rPr>
          <w:rFonts w:ascii="宋体" w:hAnsi="宋体" w:cs="宋体"/>
          <w:b/>
          <w:bCs/>
          <w:szCs w:val="24"/>
        </w:rPr>
      </w:pPr>
      <w:r>
        <w:rPr>
          <w:rFonts w:hint="eastAsia" w:ascii="宋体" w:hAnsi="宋体" w:cs="宋体"/>
          <w:b/>
          <w:bCs/>
          <w:szCs w:val="24"/>
        </w:rPr>
        <w:t>1、简介</w:t>
      </w:r>
    </w:p>
    <w:p>
      <w:pPr>
        <w:pStyle w:val="5"/>
        <w:overflowPunct w:val="0"/>
        <w:ind w:firstLine="436" w:firstLineChars="182"/>
        <w:rPr>
          <w:rFonts w:ascii="宋体" w:hAnsi="宋体" w:cs="宋体"/>
          <w:color w:val="FF0000"/>
          <w:szCs w:val="24"/>
        </w:rPr>
      </w:pPr>
      <w:r>
        <w:rPr>
          <w:rFonts w:hint="eastAsia" w:ascii="宋体" w:hAnsi="宋体" w:cs="宋体"/>
          <w:color w:val="FF0000"/>
          <w:szCs w:val="24"/>
        </w:rPr>
        <w:t>常州市连城管道网络有限公司负责</w:t>
      </w:r>
      <w:r>
        <w:rPr>
          <w:rFonts w:hint="eastAsia"/>
          <w:color w:val="FF0000"/>
          <w:szCs w:val="24"/>
        </w:rPr>
        <w:t>我市</w:t>
      </w:r>
      <w:r>
        <w:rPr>
          <w:rFonts w:hint="eastAsia" w:ascii="宋体" w:hAnsi="宋体" w:cs="宋体"/>
          <w:color w:val="FF0000"/>
          <w:szCs w:val="24"/>
        </w:rPr>
        <w:t>城区排水管网、城市污水处理厂及各类泵站等市政公共设施的运行维护和管理工作。近几年来，</w:t>
      </w:r>
      <w:r>
        <w:rPr>
          <w:rFonts w:hint="eastAsia" w:ascii="宋体" w:hAnsi="宋体"/>
          <w:color w:val="FF0000"/>
        </w:rPr>
        <w:t>作为主要排水设备的机电设备维修及定期保养工作量日益增多</w:t>
      </w:r>
      <w:r>
        <w:rPr>
          <w:rFonts w:hint="eastAsia" w:ascii="宋体" w:hAnsi="宋体" w:cs="宋体"/>
          <w:color w:val="FF0000"/>
          <w:szCs w:val="24"/>
        </w:rPr>
        <w:t>，难度和复杂性日渐提升，为规范采购程序，</w:t>
      </w:r>
      <w:r>
        <w:rPr>
          <w:rFonts w:hint="eastAsia" w:ascii="宋体" w:hAnsi="宋体"/>
          <w:color w:val="FF0000"/>
        </w:rPr>
        <w:t>不断提升设备维护水平</w:t>
      </w:r>
      <w:r>
        <w:rPr>
          <w:rFonts w:hint="eastAsia" w:ascii="宋体" w:hAnsi="宋体" w:cs="宋体"/>
          <w:color w:val="FF0000"/>
          <w:szCs w:val="24"/>
        </w:rPr>
        <w:t>，特对常州市连城管道网络有限公司管辖的</w:t>
      </w:r>
      <w:r>
        <w:rPr>
          <w:rFonts w:hint="eastAsia" w:ascii="宋体" w:hAnsi="宋体"/>
          <w:color w:val="FF0000"/>
        </w:rPr>
        <w:t>机电设备维修及定期保养服务</w:t>
      </w:r>
      <w:r>
        <w:rPr>
          <w:rFonts w:hint="eastAsia" w:ascii="宋体" w:hAnsi="宋体" w:cs="宋体"/>
          <w:color w:val="FF0000"/>
          <w:szCs w:val="24"/>
        </w:rPr>
        <w:t>进行公开招标。</w:t>
      </w:r>
    </w:p>
    <w:p>
      <w:pPr>
        <w:pStyle w:val="5"/>
        <w:overflowPunct w:val="0"/>
        <w:ind w:firstLine="482"/>
        <w:rPr>
          <w:rFonts w:ascii="宋体" w:hAnsi="宋体" w:cs="宋体"/>
          <w:b/>
          <w:bCs/>
          <w:szCs w:val="24"/>
        </w:rPr>
      </w:pPr>
      <w:bookmarkStart w:id="79" w:name="_Toc240801305"/>
      <w:bookmarkStart w:id="80" w:name="_Toc316050395"/>
      <w:r>
        <w:rPr>
          <w:rFonts w:hint="eastAsia" w:ascii="宋体" w:hAnsi="宋体" w:cs="宋体"/>
          <w:b/>
          <w:bCs/>
          <w:szCs w:val="24"/>
        </w:rPr>
        <w:t>2、项目名称及承包期限</w:t>
      </w:r>
      <w:bookmarkEnd w:id="79"/>
      <w:bookmarkEnd w:id="80"/>
    </w:p>
    <w:p>
      <w:pPr>
        <w:pStyle w:val="5"/>
        <w:overflowPunct w:val="0"/>
        <w:ind w:firstLine="480"/>
        <w:rPr>
          <w:rFonts w:ascii="宋体" w:hAnsi="宋体" w:cs="宋体"/>
          <w:bCs/>
          <w:szCs w:val="24"/>
        </w:rPr>
      </w:pPr>
      <w:bookmarkStart w:id="81" w:name="_Toc240801306"/>
      <w:bookmarkStart w:id="82" w:name="_Toc316050396"/>
      <w:r>
        <w:rPr>
          <w:rFonts w:hint="eastAsia" w:ascii="宋体" w:hAnsi="宋体" w:cs="宋体"/>
          <w:bCs/>
          <w:szCs w:val="24"/>
        </w:rPr>
        <w:t>2.1、项目名称</w:t>
      </w:r>
      <w:bookmarkEnd w:id="81"/>
      <w:bookmarkEnd w:id="82"/>
    </w:p>
    <w:p>
      <w:pPr>
        <w:pStyle w:val="5"/>
        <w:overflowPunct w:val="0"/>
        <w:ind w:firstLine="436" w:firstLineChars="182"/>
        <w:rPr>
          <w:rFonts w:ascii="宋体" w:hAnsi="宋体" w:cs="宋体"/>
          <w:szCs w:val="24"/>
        </w:rPr>
      </w:pPr>
      <w:r>
        <w:rPr>
          <w:rFonts w:hint="eastAsia" w:ascii="宋体" w:hAnsi="宋体" w:cs="宋体"/>
          <w:szCs w:val="24"/>
        </w:rPr>
        <w:t>常州市连城管道网络有限公司</w:t>
      </w:r>
      <w:r>
        <w:rPr>
          <w:rFonts w:hint="eastAsia" w:ascii="宋体" w:hAnsi="宋体"/>
          <w:color w:val="000000"/>
        </w:rPr>
        <w:t>泵</w:t>
      </w:r>
      <w:r>
        <w:rPr>
          <w:rFonts w:hint="eastAsia" w:ascii="宋体" w:hAnsi="宋体"/>
          <w:bCs/>
          <w:color w:val="000000"/>
        </w:rPr>
        <w:t>维修及定期保养</w:t>
      </w:r>
      <w:r>
        <w:rPr>
          <w:rFonts w:hint="eastAsia" w:ascii="宋体" w:hAnsi="宋体"/>
          <w:color w:val="000000"/>
        </w:rPr>
        <w:t>服务</w:t>
      </w:r>
    </w:p>
    <w:p>
      <w:pPr>
        <w:pStyle w:val="5"/>
        <w:overflowPunct w:val="0"/>
        <w:ind w:firstLine="480"/>
        <w:rPr>
          <w:rFonts w:ascii="宋体" w:hAnsi="宋体" w:cs="宋体"/>
          <w:bCs/>
          <w:color w:val="000000"/>
          <w:szCs w:val="24"/>
        </w:rPr>
      </w:pPr>
      <w:bookmarkStart w:id="83" w:name="_Toc240801307"/>
      <w:bookmarkStart w:id="84" w:name="_Toc316050397"/>
      <w:r>
        <w:rPr>
          <w:rFonts w:hint="eastAsia" w:ascii="宋体" w:hAnsi="宋体" w:cs="宋体"/>
          <w:bCs/>
          <w:color w:val="000000"/>
          <w:szCs w:val="24"/>
        </w:rPr>
        <w:t>2.2、</w:t>
      </w:r>
      <w:bookmarkEnd w:id="83"/>
      <w:bookmarkEnd w:id="84"/>
      <w:r>
        <w:rPr>
          <w:rFonts w:hint="eastAsia" w:ascii="宋体" w:hAnsi="宋体" w:cs="宋体"/>
          <w:bCs/>
          <w:color w:val="000000"/>
          <w:szCs w:val="24"/>
        </w:rPr>
        <w:t>承包期限</w:t>
      </w:r>
    </w:p>
    <w:p>
      <w:pPr>
        <w:ind w:firstLine="480" w:firstLineChars="200"/>
        <w:outlineLvl w:val="0"/>
        <w:rPr>
          <w:rFonts w:ascii="宋体" w:hAnsi="宋体"/>
          <w:color w:val="FF0000"/>
          <w:kern w:val="0"/>
          <w:sz w:val="24"/>
        </w:rPr>
      </w:pPr>
      <w:bookmarkStart w:id="85" w:name="_Toc439840081"/>
      <w:bookmarkStart w:id="86" w:name="_Toc316050398"/>
      <w:r>
        <w:rPr>
          <w:rFonts w:hint="eastAsia" w:ascii="宋体" w:hAnsi="宋体"/>
          <w:color w:val="FF0000"/>
          <w:kern w:val="0"/>
          <w:sz w:val="24"/>
        </w:rPr>
        <w:t>自签订合同之日起至2018年12月31日</w:t>
      </w:r>
      <w:bookmarkEnd w:id="85"/>
    </w:p>
    <w:p>
      <w:pPr>
        <w:pStyle w:val="5"/>
        <w:overflowPunct w:val="0"/>
        <w:ind w:firstLine="480"/>
        <w:rPr>
          <w:rFonts w:ascii="宋体" w:hAnsi="宋体" w:cs="宋体"/>
          <w:bCs/>
          <w:szCs w:val="24"/>
        </w:rPr>
      </w:pPr>
      <w:r>
        <w:rPr>
          <w:rFonts w:hint="eastAsia" w:ascii="宋体" w:hAnsi="宋体" w:cs="宋体"/>
          <w:bCs/>
          <w:szCs w:val="24"/>
        </w:rPr>
        <w:t>2.3、合同签订与合同执行规定</w:t>
      </w:r>
      <w:bookmarkEnd w:id="86"/>
    </w:p>
    <w:p>
      <w:pPr>
        <w:pStyle w:val="5"/>
        <w:overflowPunct w:val="0"/>
        <w:ind w:firstLine="436" w:firstLineChars="182"/>
        <w:rPr>
          <w:rFonts w:cs="宋体"/>
          <w:szCs w:val="24"/>
        </w:rPr>
      </w:pPr>
      <w:r>
        <w:rPr>
          <w:rFonts w:hint="eastAsia" w:cs="宋体"/>
          <w:szCs w:val="24"/>
        </w:rPr>
        <w:t>本次招标，招标单位与中标单位根据招标文件和中标文件每年签订一次合同。经招标人考核合格的，经集中采购机构鉴证后签订第二年合同。</w:t>
      </w:r>
    </w:p>
    <w:p>
      <w:pPr>
        <w:pStyle w:val="5"/>
        <w:overflowPunct w:val="0"/>
        <w:ind w:firstLine="436" w:firstLineChars="182"/>
        <w:rPr>
          <w:rFonts w:cs="宋体"/>
          <w:szCs w:val="24"/>
        </w:rPr>
      </w:pPr>
      <w:r>
        <w:rPr>
          <w:rFonts w:hint="eastAsia" w:cs="宋体"/>
          <w:szCs w:val="24"/>
        </w:rPr>
        <w:t>第一年合同，中标单位的合同单价以本次中标的单价签订，</w:t>
      </w:r>
      <w:r>
        <w:rPr>
          <w:rFonts w:hint="eastAsia"/>
          <w:szCs w:val="24"/>
        </w:rPr>
        <w:t>中标单价为中标单位的优惠幅度乘以基准单价</w:t>
      </w:r>
      <w:r>
        <w:rPr>
          <w:rFonts w:hint="eastAsia" w:cs="宋体"/>
          <w:szCs w:val="24"/>
        </w:rPr>
        <w:t>。</w:t>
      </w:r>
    </w:p>
    <w:p>
      <w:pPr>
        <w:pStyle w:val="5"/>
        <w:overflowPunct w:val="0"/>
        <w:ind w:firstLine="436" w:firstLineChars="182"/>
        <w:rPr>
          <w:rFonts w:cs="宋体"/>
          <w:szCs w:val="24"/>
        </w:rPr>
      </w:pPr>
      <w:r>
        <w:rPr>
          <w:rFonts w:hint="eastAsia" w:cs="宋体"/>
          <w:szCs w:val="24"/>
        </w:rPr>
        <w:t>第二年的合同单价，如国家政策、市场因素发生变化，可在第一年合同单价的基础上适当调整，其中如有增幅，增加幅度不超过10%，具体增减幅度在第二年合同中体现。</w:t>
      </w:r>
    </w:p>
    <w:p>
      <w:pPr>
        <w:pStyle w:val="5"/>
        <w:overflowPunct w:val="0"/>
        <w:ind w:firstLine="436" w:firstLineChars="182"/>
        <w:rPr>
          <w:szCs w:val="24"/>
        </w:rPr>
      </w:pPr>
      <w:r>
        <w:rPr>
          <w:rFonts w:hint="eastAsia"/>
          <w:szCs w:val="24"/>
        </w:rPr>
        <w:t>招标单位根据实际需要制定机电设备的维修及定期保养计划，双方对维修、保养的具体内容进行签证，招标单位依照各项内容的中标单价进行计价付款。</w:t>
      </w:r>
    </w:p>
    <w:p>
      <w:pPr>
        <w:pStyle w:val="5"/>
        <w:overflowPunct w:val="0"/>
        <w:ind w:firstLine="436" w:firstLineChars="182"/>
        <w:rPr>
          <w:szCs w:val="24"/>
        </w:rPr>
      </w:pPr>
      <w:r>
        <w:rPr>
          <w:rFonts w:hint="eastAsia"/>
          <w:szCs w:val="24"/>
        </w:rPr>
        <w:t>中标单位在投标文件中针对招标文件第三章第6节中所列清单的报价仅作为合同支付时的分项单价依据，与实际合同总价无关。</w:t>
      </w:r>
    </w:p>
    <w:p>
      <w:pPr>
        <w:pStyle w:val="5"/>
        <w:overflowPunct w:val="0"/>
        <w:ind w:left="482" w:firstLine="482"/>
        <w:rPr>
          <w:rFonts w:ascii="宋体" w:hAnsi="宋体" w:cs="宋体"/>
          <w:b/>
          <w:bCs/>
          <w:szCs w:val="24"/>
        </w:rPr>
      </w:pPr>
      <w:r>
        <w:rPr>
          <w:rFonts w:hint="eastAsia" w:ascii="宋体" w:hAnsi="宋体" w:cs="宋体"/>
          <w:b/>
          <w:bCs/>
          <w:szCs w:val="24"/>
        </w:rPr>
        <w:t>3、项目概述</w:t>
      </w:r>
    </w:p>
    <w:p>
      <w:pPr>
        <w:pStyle w:val="5"/>
        <w:overflowPunct w:val="0"/>
        <w:ind w:firstLine="480"/>
        <w:rPr>
          <w:rFonts w:ascii="宋体" w:hAnsi="宋体" w:cs="宋体"/>
          <w:color w:val="FF0000"/>
          <w:szCs w:val="24"/>
        </w:rPr>
      </w:pPr>
      <w:r>
        <w:rPr>
          <w:rFonts w:hint="eastAsia" w:ascii="宋体" w:hAnsi="宋体" w:cs="宋体"/>
          <w:szCs w:val="24"/>
        </w:rPr>
        <w:t>常州市连城管道网络有限公司（下称“甲方”）的潜水排污泵</w:t>
      </w:r>
      <w:r>
        <w:rPr>
          <w:rFonts w:hint="eastAsia" w:ascii="宋体" w:hAnsi="宋体" w:cs="宋体"/>
          <w:color w:val="FF0000"/>
          <w:szCs w:val="24"/>
        </w:rPr>
        <w:t>主要以泰丰、克瑞丰球等品牌机电设备为主；</w:t>
      </w:r>
    </w:p>
    <w:p>
      <w:pPr>
        <w:pStyle w:val="5"/>
        <w:overflowPunct w:val="0"/>
        <w:ind w:firstLine="480"/>
        <w:rPr>
          <w:rFonts w:ascii="宋体" w:hAnsi="宋体" w:cs="宋体"/>
          <w:color w:val="FF0000"/>
          <w:szCs w:val="24"/>
        </w:rPr>
      </w:pPr>
      <w:r>
        <w:rPr>
          <w:rFonts w:hint="eastAsia" w:ascii="宋体" w:hAnsi="宋体" w:cs="宋体"/>
          <w:color w:val="FF0000"/>
          <w:szCs w:val="24"/>
        </w:rPr>
        <w:t>工作特点：设备总量大、布点散，定期保养的数量较大，故障维修时的响应速度要求高、维修质量要求高；</w:t>
      </w:r>
    </w:p>
    <w:p>
      <w:pPr>
        <w:pStyle w:val="5"/>
        <w:overflowPunct w:val="0"/>
        <w:ind w:firstLine="480"/>
        <w:rPr>
          <w:rFonts w:ascii="宋体" w:hAnsi="宋体" w:cs="宋体"/>
          <w:color w:val="FF0000"/>
          <w:szCs w:val="24"/>
        </w:rPr>
      </w:pPr>
      <w:r>
        <w:rPr>
          <w:rFonts w:hint="eastAsia" w:ascii="宋体" w:hAnsi="宋体" w:cs="宋体"/>
          <w:color w:val="FF0000"/>
          <w:szCs w:val="24"/>
        </w:rPr>
        <w:t xml:space="preserve">    结算方式：</w:t>
      </w:r>
      <w:r>
        <w:rPr>
          <w:rFonts w:hint="eastAsia" w:ascii="宋体" w:hAnsi="宋体" w:cs="宋体"/>
          <w:color w:val="FF0000"/>
        </w:rPr>
        <w:t>审定后付至审定价的95%，5%质保金，审定后满一年付清。</w:t>
      </w:r>
    </w:p>
    <w:p>
      <w:pPr>
        <w:pStyle w:val="5"/>
        <w:overflowPunct w:val="0"/>
        <w:ind w:firstLine="482"/>
        <w:rPr>
          <w:rFonts w:ascii="宋体" w:hAnsi="宋体" w:cs="宋体"/>
          <w:b/>
          <w:bCs/>
          <w:color w:val="FF0000"/>
          <w:szCs w:val="24"/>
        </w:rPr>
      </w:pPr>
      <w:bookmarkStart w:id="87" w:name="_Toc316050404"/>
      <w:bookmarkStart w:id="88" w:name="_Toc240801313"/>
      <w:r>
        <w:rPr>
          <w:rFonts w:hint="eastAsia" w:ascii="宋体" w:hAnsi="宋体" w:cs="宋体"/>
          <w:b/>
          <w:bCs/>
          <w:color w:val="FF0000"/>
          <w:szCs w:val="24"/>
        </w:rPr>
        <w:t>*4、</w:t>
      </w:r>
      <w:bookmarkEnd w:id="87"/>
      <w:bookmarkEnd w:id="88"/>
      <w:r>
        <w:rPr>
          <w:rFonts w:hint="eastAsia" w:ascii="宋体" w:hAnsi="宋体" w:cs="宋体"/>
          <w:b/>
          <w:bCs/>
          <w:color w:val="FF0000"/>
          <w:szCs w:val="24"/>
        </w:rPr>
        <w:t>投标须知及资质要求</w:t>
      </w:r>
    </w:p>
    <w:p>
      <w:pPr>
        <w:pStyle w:val="5"/>
        <w:overflowPunct w:val="0"/>
        <w:ind w:firstLine="482"/>
        <w:rPr>
          <w:rFonts w:ascii="宋体" w:hAnsi="宋体" w:cs="宋体"/>
          <w:b/>
          <w:color w:val="FF0000"/>
          <w:szCs w:val="24"/>
        </w:rPr>
      </w:pPr>
      <w:r>
        <w:rPr>
          <w:rFonts w:hint="eastAsia" w:ascii="宋体" w:hAnsi="宋体" w:cs="宋体"/>
          <w:b/>
          <w:color w:val="FF0000"/>
          <w:szCs w:val="24"/>
        </w:rPr>
        <w:t>*4.1本次招标不分标段，机电设备维修及保养的各项报价最后需按招标文件第6节的清单内容合成总价形成有效报价。本次招标不接受对其中的某一项工作投标的请求，也不接受投标人联合其他公司作为联合体对本项目的投标。</w:t>
      </w:r>
    </w:p>
    <w:p>
      <w:pPr>
        <w:pStyle w:val="5"/>
        <w:overflowPunct w:val="0"/>
        <w:ind w:firstLine="482"/>
        <w:rPr>
          <w:rFonts w:ascii="宋体" w:hAnsi="宋体" w:cs="宋体"/>
          <w:color w:val="FF0000"/>
          <w:szCs w:val="24"/>
        </w:rPr>
      </w:pPr>
      <w:r>
        <w:rPr>
          <w:rFonts w:hint="eastAsia" w:ascii="宋体" w:hAnsi="宋体" w:cs="宋体"/>
          <w:b/>
          <w:color w:val="FF0000"/>
          <w:szCs w:val="24"/>
        </w:rPr>
        <w:t>*4.2</w:t>
      </w:r>
      <w:r>
        <w:rPr>
          <w:rFonts w:hint="eastAsia" w:ascii="宋体" w:hAnsi="宋体"/>
          <w:b/>
          <w:color w:val="FF0000"/>
        </w:rPr>
        <w:t>投标人应具有泰丰、克瑞丰球、凯士比（KSB）、亚太、飞力（FLYGT）这五类品牌潜水排污泵自2012年以来维修数量总计超过30台的合同记录或用户证明（内容至少包含机电设备维修的时间、规格及数量），并提供相应的发票凭证。上述资料在标书中以复印件形式提供，原件在开标现场备查</w:t>
      </w:r>
      <w:r>
        <w:rPr>
          <w:rFonts w:hint="eastAsia" w:ascii="宋体" w:hAnsi="宋体" w:cs="宋体"/>
          <w:color w:val="FF0000"/>
          <w:szCs w:val="24"/>
        </w:rPr>
        <w:t>。</w:t>
      </w:r>
    </w:p>
    <w:p>
      <w:pPr>
        <w:pStyle w:val="5"/>
        <w:overflowPunct w:val="0"/>
        <w:ind w:firstLine="482"/>
        <w:rPr>
          <w:rFonts w:ascii="宋体" w:hAnsi="宋体" w:cs="宋体"/>
          <w:b/>
          <w:szCs w:val="24"/>
        </w:rPr>
      </w:pPr>
      <w:r>
        <w:rPr>
          <w:rFonts w:hint="eastAsia" w:ascii="宋体" w:hAnsi="宋体" w:cs="宋体"/>
          <w:b/>
          <w:color w:val="FF0000"/>
          <w:szCs w:val="24"/>
        </w:rPr>
        <w:t>*4.3投标人应出示从正规渠道购买SKF轴承的有效发票复印件，以此作为使用正品零部件的确认依据，发票日期在招标公告发布日之后的无效</w:t>
      </w:r>
      <w:r>
        <w:rPr>
          <w:rFonts w:hint="eastAsia" w:ascii="宋体" w:hAnsi="宋体" w:cs="宋体"/>
          <w:b/>
          <w:szCs w:val="24"/>
        </w:rPr>
        <w:t>。</w:t>
      </w:r>
    </w:p>
    <w:p>
      <w:pPr>
        <w:pStyle w:val="5"/>
        <w:overflowPunct w:val="0"/>
        <w:ind w:firstLine="482"/>
        <w:rPr>
          <w:rFonts w:ascii="宋体" w:hAnsi="宋体" w:cs="宋体"/>
          <w:b/>
          <w:bCs/>
          <w:color w:val="FF0000"/>
          <w:szCs w:val="24"/>
        </w:rPr>
      </w:pPr>
      <w:bookmarkStart w:id="89" w:name="_Toc240801315"/>
      <w:bookmarkStart w:id="90" w:name="_Toc316050406"/>
      <w:r>
        <w:rPr>
          <w:rFonts w:hint="eastAsia" w:ascii="宋体" w:hAnsi="宋体" w:cs="宋体"/>
          <w:b/>
          <w:bCs/>
          <w:color w:val="FF0000"/>
          <w:szCs w:val="24"/>
        </w:rPr>
        <w:t>5、</w:t>
      </w:r>
      <w:bookmarkEnd w:id="89"/>
      <w:bookmarkStart w:id="91" w:name="OLE_LINK3"/>
      <w:r>
        <w:rPr>
          <w:rFonts w:hint="eastAsia" w:ascii="宋体" w:hAnsi="宋体" w:cs="宋体"/>
          <w:b/>
          <w:bCs/>
          <w:color w:val="FF0000"/>
          <w:szCs w:val="24"/>
        </w:rPr>
        <w:t>技术管理要求</w:t>
      </w:r>
      <w:bookmarkEnd w:id="90"/>
      <w:bookmarkEnd w:id="91"/>
    </w:p>
    <w:p>
      <w:pPr>
        <w:pStyle w:val="5"/>
        <w:overflowPunct w:val="0"/>
        <w:ind w:firstLine="482"/>
        <w:rPr>
          <w:rFonts w:ascii="宋体" w:hAnsi="宋体" w:cs="宋体"/>
          <w:b/>
          <w:bCs/>
          <w:color w:val="FF0000"/>
          <w:szCs w:val="24"/>
        </w:rPr>
      </w:pPr>
      <w:bookmarkStart w:id="92" w:name="_Toc240801317"/>
      <w:bookmarkStart w:id="93" w:name="_Toc316050407"/>
      <w:r>
        <w:rPr>
          <w:rFonts w:hint="eastAsia" w:ascii="宋体" w:hAnsi="宋体" w:cs="宋体"/>
          <w:b/>
          <w:bCs/>
          <w:color w:val="FF0000"/>
          <w:szCs w:val="24"/>
        </w:rPr>
        <w:t>5.</w:t>
      </w:r>
      <w:bookmarkEnd w:id="92"/>
      <w:r>
        <w:rPr>
          <w:rFonts w:hint="eastAsia" w:ascii="宋体" w:hAnsi="宋体" w:cs="宋体"/>
          <w:b/>
          <w:bCs/>
          <w:color w:val="FF0000"/>
          <w:szCs w:val="24"/>
        </w:rPr>
        <w:t>1</w:t>
      </w:r>
      <w:bookmarkEnd w:id="93"/>
      <w:r>
        <w:rPr>
          <w:rFonts w:hint="eastAsia" w:ascii="宋体" w:hAnsi="宋体" w:cs="宋体"/>
          <w:b/>
          <w:bCs/>
          <w:color w:val="FF0000"/>
          <w:szCs w:val="24"/>
        </w:rPr>
        <w:t>基本要求</w:t>
      </w:r>
    </w:p>
    <w:p>
      <w:pPr>
        <w:pStyle w:val="5"/>
        <w:overflowPunct w:val="0"/>
        <w:ind w:firstLine="480"/>
        <w:rPr>
          <w:rFonts w:ascii="宋体" w:hAnsi="宋体" w:cs="宋体"/>
          <w:color w:val="FF0000"/>
          <w:szCs w:val="24"/>
        </w:rPr>
      </w:pPr>
      <w:r>
        <w:rPr>
          <w:rFonts w:hint="eastAsia" w:ascii="宋体" w:hAnsi="宋体" w:cs="宋体"/>
          <w:color w:val="FF0000"/>
          <w:szCs w:val="24"/>
        </w:rPr>
        <w:t>5.1.1</w:t>
      </w:r>
      <w:r>
        <w:rPr>
          <w:rFonts w:hint="eastAsia" w:ascii="宋体" w:hAnsi="宋体" w:cs="宋体"/>
          <w:color w:val="FF0000"/>
        </w:rPr>
        <w:t>机电设备需发外维修时，首先应由双方根据故障现象初步判断故障原因，对机电设备进行拆解后再确定维修范围，甲方对实际维修内容进行逐一签证。除对故障零部件进行维修更换外，还应对机电设备进行全面的检查，必要时进行相关维修。</w:t>
      </w:r>
    </w:p>
    <w:p>
      <w:pPr>
        <w:pStyle w:val="5"/>
        <w:overflowPunct w:val="0"/>
        <w:ind w:firstLine="480"/>
        <w:rPr>
          <w:rFonts w:ascii="宋体" w:hAnsi="宋体" w:cs="宋体"/>
          <w:color w:val="FF0000"/>
          <w:szCs w:val="24"/>
        </w:rPr>
      </w:pPr>
      <w:r>
        <w:rPr>
          <w:rFonts w:hint="eastAsia" w:ascii="宋体" w:hAnsi="宋体" w:cs="宋体"/>
          <w:color w:val="FF0000"/>
          <w:szCs w:val="24"/>
        </w:rPr>
        <w:t>5.1.2</w:t>
      </w:r>
      <w:r>
        <w:rPr>
          <w:rFonts w:hint="eastAsia" w:ascii="宋体" w:hAnsi="宋体" w:cs="宋体"/>
          <w:color w:val="FF0000"/>
        </w:rPr>
        <w:t>机电设备进行发外定期保养时，执行招标文件规定的相关项目保养服务。除规定项目外，还应对机电设备进行相关检查，如发现缺陷情况报甲方认可后进入维修程序并逐一签证</w:t>
      </w:r>
      <w:r>
        <w:rPr>
          <w:rFonts w:hint="eastAsia" w:ascii="宋体" w:hAnsi="宋体" w:cs="宋体"/>
          <w:color w:val="FF0000"/>
          <w:szCs w:val="24"/>
        </w:rPr>
        <w:t>。</w:t>
      </w:r>
    </w:p>
    <w:p>
      <w:pPr>
        <w:pStyle w:val="5"/>
        <w:overflowPunct w:val="0"/>
        <w:ind w:firstLine="480"/>
        <w:rPr>
          <w:rFonts w:ascii="宋体" w:hAnsi="宋体" w:cs="宋体"/>
          <w:color w:val="FF0000"/>
          <w:szCs w:val="24"/>
        </w:rPr>
      </w:pPr>
      <w:r>
        <w:rPr>
          <w:rFonts w:hint="eastAsia" w:ascii="宋体" w:hAnsi="宋体" w:cs="宋体"/>
          <w:color w:val="FF0000"/>
          <w:szCs w:val="24"/>
        </w:rPr>
        <w:t>5.1.3如甲方提出需要对机电设备进行除锈上漆的，需将机电设备外壳的锈层完全清除，最低达到GB/T 8923的Sa 2级，然后表面涂刷2-3道黑色氯化橡胶油漆。</w:t>
      </w:r>
    </w:p>
    <w:p>
      <w:pPr>
        <w:pStyle w:val="5"/>
        <w:overflowPunct w:val="0"/>
        <w:ind w:firstLine="482"/>
        <w:rPr>
          <w:rFonts w:ascii="宋体" w:hAnsi="宋体" w:cs="宋体"/>
          <w:b/>
          <w:color w:val="FF0000"/>
        </w:rPr>
      </w:pPr>
      <w:r>
        <w:rPr>
          <w:rFonts w:hint="eastAsia" w:ascii="宋体" w:hAnsi="宋体" w:cs="宋体"/>
          <w:b/>
          <w:color w:val="FF0000"/>
        </w:rPr>
        <w:t>5.2故障维修时全面检查的内容及要求</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rPr>
        <w:t>5.2.1</w:t>
      </w:r>
      <w:r>
        <w:rPr>
          <w:rFonts w:hint="eastAsia" w:ascii="宋体" w:hAnsi="宋体" w:cs="宋体"/>
          <w:color w:val="FF0000"/>
          <w:sz w:val="24"/>
          <w:szCs w:val="24"/>
        </w:rPr>
        <w:t>检查外观是否有缺陷，电缆有否老化、绝缘是否符合设计使用要求，不符合经甲方确认后更换。</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5.2.2机电设备解体时需对泵轴进行清洗并检查轴磨损情况，超过公差允许范围的，经甲方确认后对泵轴进行维修或更换。</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5.2.3检查耐磨环的磨损情况，如有明显磨损则需更换耐磨环，如发现耐磨环存在单边磨损现象则需告知甲方对机电设备运行工况进行检查。</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5.2.4叶轮：叶轮表面不应有裂纹、损伤及严重腐蚀，叶轮与轴联接不能有松动；校静平衡，最大外径处不平衡不能超过10g。对叶轮检查后由甲方确认后决定是否做动平衡或更换。</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5.2.5机械密封：存在泄漏、浸水现象或由甲方确认超过4年未进行过维修保养的，对机械密封进行更换。</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5.2.6密封件：对机电设备进行分解过程中拆下的所有橡胶密封件均予以更换。</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5.2.7机油：更换32#机械油。</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5.2.8轴承：除轴承自身损坏之外，如有更换叶轮或因轴承内浸入泥沙污物经甲方确认需更换的，为确保载荷平衡及保证磨损一致原则，同时更换泵体上下轴承。</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5.2.9定子：检查三相电感及绝缘值。如三相电感平衡而定子线圈冷态绝缘值不足2MΩ，则清理后进行烘干处理。如果烘干后绝缘检查仍不过关的，经甲方确认后对线圈进行重新绕组。</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5.2.10接线柱及接线端子：如有滑丝、破损或烧毁的，经甲方确认后更换。</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5.2.11轴承座：清理内腔，轴承座有磨损情况的经甲方确认后更换。</w:t>
      </w:r>
    </w:p>
    <w:p>
      <w:pPr>
        <w:pStyle w:val="179"/>
        <w:autoSpaceDN w:val="0"/>
        <w:ind w:firstLine="480" w:firstLineChars="200"/>
        <w:rPr>
          <w:rFonts w:ascii="宋体" w:hAnsi="宋体" w:cs="宋体"/>
          <w:color w:val="FF0000"/>
          <w:sz w:val="24"/>
        </w:rPr>
      </w:pPr>
      <w:r>
        <w:rPr>
          <w:rFonts w:hint="eastAsia" w:ascii="宋体" w:hAnsi="宋体" w:cs="宋体"/>
          <w:color w:val="FF0000"/>
          <w:sz w:val="24"/>
          <w:szCs w:val="24"/>
        </w:rPr>
        <w:t>5.2.12冷却水套：</w:t>
      </w:r>
      <w:r>
        <w:rPr>
          <w:rFonts w:hint="eastAsia" w:ascii="宋体" w:hAnsi="宋体" w:cs="宋体"/>
          <w:color w:val="FF0000"/>
          <w:sz w:val="24"/>
        </w:rPr>
        <w:t>使用外循环水的冷却水套应拆解冷却套进行清洗。</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rPr>
        <w:t>5.2.13对机电设备铸件表面进行除锈、油漆。</w:t>
      </w:r>
    </w:p>
    <w:p>
      <w:pPr>
        <w:pStyle w:val="179"/>
        <w:autoSpaceDN w:val="0"/>
        <w:ind w:firstLine="480" w:firstLineChars="200"/>
        <w:rPr>
          <w:rFonts w:ascii="宋体" w:hAnsi="宋体" w:cs="宋体"/>
          <w:color w:val="FF0000"/>
          <w:sz w:val="24"/>
        </w:rPr>
      </w:pPr>
      <w:r>
        <w:rPr>
          <w:rFonts w:hint="eastAsia" w:ascii="宋体" w:hAnsi="宋体" w:cs="宋体"/>
          <w:color w:val="FF0000"/>
          <w:sz w:val="24"/>
          <w:szCs w:val="24"/>
        </w:rPr>
        <w:t>5.2.14检查机电设备三角吊架或</w:t>
      </w:r>
      <w:r>
        <w:rPr>
          <w:rFonts w:hint="eastAsia" w:ascii="宋体" w:hAnsi="宋体" w:cs="宋体"/>
          <w:color w:val="FF0000"/>
          <w:sz w:val="24"/>
        </w:rPr>
        <w:t>链条的完好性，不完好的应报</w:t>
      </w:r>
      <w:r>
        <w:rPr>
          <w:rFonts w:hint="eastAsia" w:ascii="宋体" w:hAnsi="宋体" w:cs="宋体"/>
          <w:color w:val="FF0000"/>
          <w:sz w:val="24"/>
          <w:szCs w:val="24"/>
        </w:rPr>
        <w:t>甲方</w:t>
      </w:r>
      <w:r>
        <w:rPr>
          <w:rFonts w:hint="eastAsia" w:ascii="宋体" w:hAnsi="宋体" w:cs="宋体"/>
          <w:color w:val="FF0000"/>
          <w:sz w:val="24"/>
        </w:rPr>
        <w:t>同意后更换（议价或甲供）。</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rPr>
        <w:t>5.2.15紧固件：检查并拧紧所有外露紧固件，如有断裂或滑丝的进行更换或扩孔安装（不额外计费）。</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5.2.16</w:t>
      </w:r>
      <w:r>
        <w:rPr>
          <w:rFonts w:hint="eastAsia" w:ascii="宋体" w:hAnsi="宋体" w:cs="宋体"/>
          <w:color w:val="FF0000"/>
          <w:sz w:val="24"/>
        </w:rPr>
        <w:t>测试所有传感器</w:t>
      </w:r>
      <w:r>
        <w:rPr>
          <w:rFonts w:hint="eastAsia" w:ascii="宋体" w:hAnsi="宋体" w:cs="宋体"/>
          <w:color w:val="FF0000"/>
          <w:sz w:val="24"/>
          <w:szCs w:val="24"/>
        </w:rPr>
        <w:t>，如有异常则更换相应电气元件。</w:t>
      </w:r>
    </w:p>
    <w:p>
      <w:pPr>
        <w:pStyle w:val="179"/>
        <w:autoSpaceDN w:val="0"/>
        <w:ind w:firstLine="480" w:firstLineChars="200"/>
        <w:rPr>
          <w:rFonts w:ascii="宋体" w:hAnsi="宋体" w:cs="宋体"/>
          <w:color w:val="FF0000"/>
          <w:sz w:val="24"/>
          <w:szCs w:val="24"/>
        </w:rPr>
      </w:pPr>
      <w:r>
        <w:rPr>
          <w:rFonts w:hint="eastAsia" w:ascii="宋体" w:hAnsi="宋体" w:cs="宋体"/>
          <w:color w:val="FF0000"/>
          <w:sz w:val="24"/>
          <w:szCs w:val="24"/>
        </w:rPr>
        <w:t>5.2.17测试：空转检查，气压试验。</w:t>
      </w:r>
    </w:p>
    <w:p>
      <w:pPr>
        <w:pStyle w:val="5"/>
        <w:overflowPunct w:val="0"/>
        <w:ind w:firstLine="482"/>
        <w:rPr>
          <w:rFonts w:ascii="宋体" w:hAnsi="宋体" w:cs="宋体"/>
          <w:b/>
          <w:color w:val="FF0000"/>
        </w:rPr>
      </w:pPr>
      <w:r>
        <w:rPr>
          <w:rFonts w:hint="eastAsia" w:ascii="宋体" w:hAnsi="宋体" w:cs="宋体"/>
          <w:b/>
          <w:color w:val="FF0000"/>
        </w:rPr>
        <w:t>5.3发外定期保养的内容及要求</w:t>
      </w:r>
    </w:p>
    <w:p>
      <w:pPr>
        <w:pStyle w:val="5"/>
        <w:overflowPunct w:val="0"/>
        <w:ind w:firstLine="480"/>
        <w:rPr>
          <w:rFonts w:ascii="宋体" w:hAnsi="宋体" w:cs="宋体"/>
          <w:color w:val="FF0000"/>
        </w:rPr>
      </w:pPr>
      <w:r>
        <w:rPr>
          <w:rFonts w:hint="eastAsia" w:ascii="宋体" w:hAnsi="宋体" w:cs="宋体"/>
          <w:color w:val="FF0000"/>
        </w:rPr>
        <w:t>5.3.1发外保养前检测并记录机电设备运行时的三相电流值，电流不得大于机电设备额定电流，同时每相电流的差值不得大于5%。</w:t>
      </w:r>
    </w:p>
    <w:p>
      <w:pPr>
        <w:pStyle w:val="5"/>
        <w:overflowPunct w:val="0"/>
        <w:ind w:firstLine="480"/>
        <w:rPr>
          <w:rFonts w:ascii="宋体" w:hAnsi="宋体" w:cs="宋体"/>
          <w:color w:val="FF0000"/>
        </w:rPr>
      </w:pPr>
      <w:r>
        <w:rPr>
          <w:rFonts w:hint="eastAsia" w:ascii="宋体" w:hAnsi="宋体" w:cs="宋体"/>
          <w:color w:val="FF0000"/>
        </w:rPr>
        <w:t>5.3.2保养前后分别测量并记录电机及各腔室绝缘值，保养前机电设备热态时电机相间及对地绝缘值≥0.5MΩ或冷态时绝缘值≥2MΩ，机电设备维修保养过后的电机线圈冷态绝缘值应≥50MΩ；各腔室泄漏元件对地绝缘值保养后应≥5MΩ。如达不到上述指标，则报甲方决定是否进入维修程序。</w:t>
      </w:r>
    </w:p>
    <w:p>
      <w:pPr>
        <w:pStyle w:val="5"/>
        <w:overflowPunct w:val="0"/>
        <w:ind w:firstLine="480"/>
        <w:rPr>
          <w:rFonts w:ascii="宋体" w:hAnsi="宋体" w:cs="宋体"/>
          <w:color w:val="FF0000"/>
        </w:rPr>
      </w:pPr>
      <w:r>
        <w:rPr>
          <w:rFonts w:hint="eastAsia" w:ascii="宋体" w:hAnsi="宋体" w:cs="宋体"/>
          <w:color w:val="FF0000"/>
        </w:rPr>
        <w:t>5.3.3电机保养：对接线腔进行清理，紧固接线端子，电机冷态对地绝缘值＜50 MΩ的需对线圈进行浸漆烘干。</w:t>
      </w:r>
    </w:p>
    <w:p>
      <w:pPr>
        <w:pStyle w:val="5"/>
        <w:overflowPunct w:val="0"/>
        <w:ind w:firstLine="480"/>
        <w:rPr>
          <w:rFonts w:ascii="宋体" w:hAnsi="宋体" w:cs="宋体"/>
          <w:color w:val="FF0000"/>
        </w:rPr>
      </w:pPr>
      <w:r>
        <w:rPr>
          <w:rFonts w:hint="eastAsia" w:ascii="宋体" w:hAnsi="宋体" w:cs="宋体"/>
          <w:color w:val="FF0000"/>
        </w:rPr>
        <w:t>5.3.4更换全套机械密封，密封处泵轴如有磨损应报甲方决定是否进入维修程序。</w:t>
      </w:r>
    </w:p>
    <w:p>
      <w:pPr>
        <w:pStyle w:val="5"/>
        <w:overflowPunct w:val="0"/>
        <w:ind w:firstLine="480"/>
        <w:rPr>
          <w:rFonts w:ascii="宋体" w:hAnsi="宋体" w:cs="宋体"/>
          <w:color w:val="FF0000"/>
        </w:rPr>
      </w:pPr>
      <w:r>
        <w:rPr>
          <w:rFonts w:hint="eastAsia" w:ascii="宋体" w:hAnsi="宋体" w:cs="宋体"/>
          <w:color w:val="FF0000"/>
        </w:rPr>
        <w:t>5.3.5更换油腔室32#机械油。</w:t>
      </w:r>
    </w:p>
    <w:p>
      <w:pPr>
        <w:pStyle w:val="5"/>
        <w:overflowPunct w:val="0"/>
        <w:ind w:firstLine="480"/>
        <w:rPr>
          <w:rFonts w:ascii="宋体" w:hAnsi="宋体" w:cs="宋体"/>
          <w:color w:val="FF0000"/>
        </w:rPr>
      </w:pPr>
      <w:r>
        <w:rPr>
          <w:rFonts w:hint="eastAsia" w:ascii="宋体" w:hAnsi="宋体" w:cs="宋体"/>
          <w:color w:val="FF0000"/>
        </w:rPr>
        <w:t>5.3.6对轴承添加润滑脂。</w:t>
      </w:r>
    </w:p>
    <w:p>
      <w:pPr>
        <w:pStyle w:val="5"/>
        <w:overflowPunct w:val="0"/>
        <w:ind w:firstLine="480"/>
        <w:rPr>
          <w:rFonts w:ascii="宋体" w:hAnsi="宋体" w:cs="宋体"/>
          <w:color w:val="FF0000"/>
        </w:rPr>
      </w:pPr>
      <w:r>
        <w:rPr>
          <w:rFonts w:hint="eastAsia" w:ascii="宋体" w:hAnsi="宋体" w:cs="宋体"/>
          <w:color w:val="FF0000"/>
        </w:rPr>
        <w:t>5.3.7更换全套橡胶密封件。</w:t>
      </w:r>
    </w:p>
    <w:p>
      <w:pPr>
        <w:pStyle w:val="5"/>
        <w:overflowPunct w:val="0"/>
        <w:ind w:firstLine="480"/>
        <w:rPr>
          <w:rFonts w:ascii="宋体" w:hAnsi="宋体" w:cs="宋体"/>
          <w:color w:val="FF0000"/>
        </w:rPr>
      </w:pPr>
      <w:r>
        <w:rPr>
          <w:rFonts w:hint="eastAsia" w:ascii="宋体" w:hAnsi="宋体" w:cs="宋体"/>
          <w:color w:val="FF0000"/>
        </w:rPr>
        <w:t>5.3.8紧固蜗壳与电机连接螺栓，紧固叶轮螺栓。</w:t>
      </w:r>
    </w:p>
    <w:p>
      <w:pPr>
        <w:pStyle w:val="5"/>
        <w:overflowPunct w:val="0"/>
        <w:ind w:firstLine="480"/>
        <w:rPr>
          <w:rFonts w:ascii="宋体" w:hAnsi="宋体" w:cs="宋体"/>
          <w:color w:val="FF0000"/>
        </w:rPr>
      </w:pPr>
      <w:r>
        <w:rPr>
          <w:rFonts w:hint="eastAsia" w:ascii="宋体" w:hAnsi="宋体" w:cs="宋体"/>
          <w:color w:val="FF0000"/>
        </w:rPr>
        <w:t>5.3.9吊泵检查叶轮的气蚀磨损情况及蜗壳密封环的磨损情况，如有异常应报甲方同意后更换。配件由甲供或依照维修报价计算，如在机电设备保养过程中仅有额外更换叶轮或耐磨环的工作，则不再追加维修费。</w:t>
      </w:r>
    </w:p>
    <w:p>
      <w:pPr>
        <w:pStyle w:val="5"/>
        <w:overflowPunct w:val="0"/>
        <w:ind w:firstLine="480"/>
        <w:rPr>
          <w:rFonts w:ascii="宋体" w:hAnsi="宋体" w:cs="宋体"/>
          <w:color w:val="FF0000"/>
        </w:rPr>
      </w:pPr>
      <w:r>
        <w:rPr>
          <w:rFonts w:hint="eastAsia" w:ascii="宋体" w:hAnsi="宋体" w:cs="宋体"/>
          <w:color w:val="FF0000"/>
        </w:rPr>
        <w:t>5.3.10有冷却水套的机电设备应拆解冷却套进行清洗。</w:t>
      </w:r>
    </w:p>
    <w:p>
      <w:pPr>
        <w:pStyle w:val="5"/>
        <w:overflowPunct w:val="0"/>
        <w:ind w:firstLine="480"/>
        <w:rPr>
          <w:rFonts w:ascii="宋体" w:hAnsi="宋体" w:cs="宋体"/>
          <w:color w:val="FF0000"/>
        </w:rPr>
      </w:pPr>
      <w:r>
        <w:rPr>
          <w:rFonts w:hint="eastAsia" w:ascii="宋体" w:hAnsi="宋体" w:cs="宋体"/>
          <w:color w:val="FF0000"/>
        </w:rPr>
        <w:t>5.3.11对机电设备铸件表面进行除锈、油漆。</w:t>
      </w:r>
    </w:p>
    <w:p>
      <w:pPr>
        <w:pStyle w:val="5"/>
        <w:overflowPunct w:val="0"/>
        <w:ind w:firstLine="480"/>
        <w:rPr>
          <w:rFonts w:ascii="宋体" w:hAnsi="宋体" w:cs="宋体"/>
          <w:color w:val="FF0000"/>
        </w:rPr>
      </w:pPr>
      <w:r>
        <w:rPr>
          <w:rFonts w:hint="eastAsia" w:ascii="宋体" w:hAnsi="宋体" w:cs="宋体"/>
          <w:color w:val="FF0000"/>
        </w:rPr>
        <w:t>5.3.12测试所有传感器，如有异常应报甲方决定是否进入维修程序。</w:t>
      </w:r>
    </w:p>
    <w:p>
      <w:pPr>
        <w:pStyle w:val="5"/>
        <w:overflowPunct w:val="0"/>
        <w:ind w:firstLine="480"/>
        <w:rPr>
          <w:rFonts w:ascii="宋体" w:hAnsi="宋体" w:cs="宋体"/>
          <w:color w:val="FF0000"/>
        </w:rPr>
      </w:pPr>
      <w:r>
        <w:rPr>
          <w:rFonts w:hint="eastAsia" w:ascii="宋体" w:hAnsi="宋体" w:cs="宋体"/>
          <w:color w:val="FF0000"/>
        </w:rPr>
        <w:t>5.3.13吊泵时观察电缆线有无老化、破裂、鼓胀等现象，如有异常应报甲方决定是否进入维修程序。</w:t>
      </w:r>
    </w:p>
    <w:p>
      <w:pPr>
        <w:pStyle w:val="5"/>
        <w:overflowPunct w:val="0"/>
        <w:ind w:firstLine="480"/>
        <w:rPr>
          <w:rFonts w:ascii="宋体" w:hAnsi="宋体" w:cs="宋体"/>
          <w:color w:val="FF0000"/>
        </w:rPr>
      </w:pPr>
      <w:r>
        <w:rPr>
          <w:rFonts w:hint="eastAsia" w:ascii="宋体" w:hAnsi="宋体" w:cs="宋体"/>
          <w:color w:val="FF0000"/>
        </w:rPr>
        <w:t>5.3.14在发外保养前运行并观察机电设备的振动情况，如震动异常则报甲方决定是否进入维修程序。</w:t>
      </w:r>
    </w:p>
    <w:p>
      <w:pPr>
        <w:pStyle w:val="5"/>
        <w:overflowPunct w:val="0"/>
        <w:ind w:firstLine="480"/>
        <w:rPr>
          <w:rFonts w:ascii="宋体" w:hAnsi="宋体" w:cs="宋体"/>
          <w:color w:val="FF0000"/>
        </w:rPr>
      </w:pPr>
      <w:r>
        <w:rPr>
          <w:rFonts w:hint="eastAsia" w:ascii="宋体" w:hAnsi="宋体" w:cs="宋体"/>
          <w:color w:val="FF0000"/>
        </w:rPr>
        <w:t>5.3.15使用链条吊升的机电设备，应检查起吊链条的完好性，不完好的应报甲方同意后更换，链条由甲供或另外议价，更换人工不额外计费。</w:t>
      </w:r>
    </w:p>
    <w:p>
      <w:pPr>
        <w:pStyle w:val="5"/>
        <w:overflowPunct w:val="0"/>
        <w:ind w:firstLine="482"/>
        <w:rPr>
          <w:rFonts w:ascii="宋体" w:hAnsi="宋体" w:cs="宋体"/>
          <w:b/>
          <w:color w:val="FF0000"/>
        </w:rPr>
      </w:pPr>
      <w:r>
        <w:rPr>
          <w:rFonts w:hint="eastAsia" w:ascii="宋体" w:hAnsi="宋体" w:cs="宋体"/>
          <w:b/>
          <w:color w:val="FF0000"/>
        </w:rPr>
        <w:t>5.4验收标准及质保要求：</w:t>
      </w:r>
    </w:p>
    <w:p>
      <w:pPr>
        <w:pStyle w:val="5"/>
        <w:overflowPunct w:val="0"/>
        <w:ind w:firstLine="480"/>
        <w:rPr>
          <w:rFonts w:ascii="宋体" w:hAnsi="宋体" w:cs="宋体"/>
          <w:color w:val="FF0000"/>
        </w:rPr>
      </w:pPr>
      <w:r>
        <w:rPr>
          <w:rFonts w:hint="eastAsia" w:ascii="宋体" w:hAnsi="宋体" w:cs="宋体"/>
          <w:color w:val="FF0000"/>
        </w:rPr>
        <w:t>5.4.1根据甲方安排分批进行维修、维护保养，包括现场拆装、运输及调试；</w:t>
      </w:r>
    </w:p>
    <w:p>
      <w:pPr>
        <w:pStyle w:val="5"/>
        <w:overflowPunct w:val="0"/>
        <w:ind w:firstLine="480"/>
        <w:rPr>
          <w:rFonts w:ascii="宋体" w:hAnsi="宋体" w:cs="宋体"/>
          <w:color w:val="FF0000"/>
        </w:rPr>
      </w:pPr>
      <w:r>
        <w:rPr>
          <w:rFonts w:hint="eastAsia" w:ascii="宋体" w:hAnsi="宋体" w:cs="宋体"/>
          <w:color w:val="FF0000"/>
        </w:rPr>
        <w:t>5.4.2机电设备应在甲方鉴证的情况下进行解体、拆卸；</w:t>
      </w:r>
    </w:p>
    <w:p>
      <w:pPr>
        <w:pStyle w:val="5"/>
        <w:overflowPunct w:val="0"/>
        <w:ind w:firstLine="480"/>
        <w:rPr>
          <w:rFonts w:ascii="宋体" w:hAnsi="宋体" w:cs="宋体"/>
          <w:color w:val="FF0000"/>
        </w:rPr>
      </w:pPr>
      <w:r>
        <w:rPr>
          <w:rFonts w:hint="eastAsia" w:ascii="宋体" w:hAnsi="宋体" w:cs="宋体"/>
          <w:color w:val="FF0000"/>
        </w:rPr>
        <w:t>5.4.3维修或保养后按照《常州市连城管道网络有限公司泵发外维保验收记录表》的要求，由双方签字确认；</w:t>
      </w:r>
    </w:p>
    <w:p>
      <w:pPr>
        <w:pStyle w:val="5"/>
        <w:overflowPunct w:val="0"/>
        <w:ind w:firstLine="482"/>
        <w:rPr>
          <w:rFonts w:ascii="宋体" w:hAnsi="宋体" w:cs="宋体"/>
          <w:color w:val="FF0000"/>
        </w:rPr>
      </w:pPr>
      <w:r>
        <w:rPr>
          <w:rFonts w:hint="eastAsia" w:ascii="宋体" w:hAnsi="宋体" w:cs="宋体"/>
          <w:b/>
          <w:color w:val="FF0000"/>
        </w:rPr>
        <w:t>*5.4.4维修质保期1年（自安装使用之日起计算）。质保期内正常使用的机电设备如发生维修/保养内容相关的故障时，维修方需无条件返修，且质保期自维修后顺延6个月，延长后的质保期总时间不超过2年</w:t>
      </w:r>
      <w:r>
        <w:rPr>
          <w:rFonts w:hint="eastAsia" w:ascii="宋体" w:hAnsi="宋体" w:cs="宋体"/>
          <w:color w:val="FF0000"/>
        </w:rPr>
        <w:t>。</w:t>
      </w:r>
    </w:p>
    <w:p>
      <w:pPr>
        <w:pStyle w:val="5"/>
        <w:overflowPunct w:val="0"/>
        <w:ind w:firstLine="480"/>
        <w:rPr>
          <w:rFonts w:ascii="宋体" w:hAnsi="宋体" w:cs="宋体"/>
          <w:color w:val="FF0000"/>
        </w:rPr>
      </w:pPr>
      <w:r>
        <w:rPr>
          <w:rFonts w:hint="eastAsia" w:ascii="宋体" w:hAnsi="宋体" w:cs="宋体"/>
          <w:color w:val="FF0000"/>
        </w:rPr>
        <w:t>5.4.5本项目中标人应承担招标文件对中标人要求的一切事宜及责任，包括设备供货、起吊（包括联系吊车的费用）、运输、装卸、保管、安装、调试、验收、检测、培训及相关服务等，其相关费用也应包含在报价中。</w:t>
      </w:r>
    </w:p>
    <w:p>
      <w:pPr>
        <w:pStyle w:val="5"/>
        <w:overflowPunct w:val="0"/>
        <w:ind w:firstLine="482"/>
        <w:rPr>
          <w:rFonts w:ascii="宋体" w:hAnsi="宋体" w:cs="宋体"/>
          <w:color w:val="FF0000"/>
        </w:rPr>
      </w:pPr>
      <w:r>
        <w:rPr>
          <w:rFonts w:hint="eastAsia" w:ascii="宋体" w:hAnsi="宋体" w:cs="宋体"/>
          <w:b/>
          <w:color w:val="FF0000"/>
        </w:rPr>
        <w:t>*5.5更换配件品牌及型号要求</w:t>
      </w:r>
    </w:p>
    <w:tbl>
      <w:tblPr>
        <w:tblStyle w:val="58"/>
        <w:tblW w:w="4663"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158"/>
        <w:gridCol w:w="250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5" w:hRule="atLeast"/>
          <w:jc w:val="center"/>
        </w:trPr>
        <w:tc>
          <w:tcPr>
            <w:tcW w:w="2158" w:type="dxa"/>
            <w:tcBorders>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配件名称</w:t>
            </w:r>
          </w:p>
        </w:tc>
        <w:tc>
          <w:tcPr>
            <w:tcW w:w="2505" w:type="dxa"/>
            <w:tcBorders>
              <w:left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品牌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5" w:hRule="atLeast"/>
          <w:jc w:val="center"/>
        </w:trPr>
        <w:tc>
          <w:tcPr>
            <w:tcW w:w="2158" w:type="dxa"/>
            <w:tcBorders>
              <w:top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机械密封</w:t>
            </w:r>
          </w:p>
        </w:tc>
        <w:tc>
          <w:tcPr>
            <w:tcW w:w="2505" w:type="dxa"/>
            <w:tcBorders>
              <w:top w:val="nil"/>
              <w:left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浙江奉化釜用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5" w:hRule="atLeast"/>
          <w:jc w:val="center"/>
        </w:trPr>
        <w:tc>
          <w:tcPr>
            <w:tcW w:w="2158" w:type="dxa"/>
            <w:tcBorders>
              <w:top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轴承</w:t>
            </w:r>
          </w:p>
        </w:tc>
        <w:tc>
          <w:tcPr>
            <w:tcW w:w="2505" w:type="dxa"/>
            <w:tcBorders>
              <w:top w:val="nil"/>
              <w:left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SKF</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5" w:hRule="atLeast"/>
          <w:jc w:val="center"/>
        </w:trPr>
        <w:tc>
          <w:tcPr>
            <w:tcW w:w="2158" w:type="dxa"/>
            <w:tcBorders>
              <w:top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转子镶套维修材质</w:t>
            </w:r>
          </w:p>
        </w:tc>
        <w:tc>
          <w:tcPr>
            <w:tcW w:w="2505" w:type="dxa"/>
            <w:tcBorders>
              <w:top w:val="nil"/>
              <w:left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2Cr13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5" w:hRule="atLeast"/>
          <w:jc w:val="center"/>
        </w:trPr>
        <w:tc>
          <w:tcPr>
            <w:tcW w:w="2158" w:type="dxa"/>
            <w:tcBorders>
              <w:top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油腔室油液</w:t>
            </w:r>
          </w:p>
        </w:tc>
        <w:tc>
          <w:tcPr>
            <w:tcW w:w="2505" w:type="dxa"/>
            <w:tcBorders>
              <w:top w:val="nil"/>
              <w:left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长城32#机械油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5" w:hRule="atLeast"/>
          <w:jc w:val="center"/>
        </w:trPr>
        <w:tc>
          <w:tcPr>
            <w:tcW w:w="2158" w:type="dxa"/>
            <w:tcBorders>
              <w:top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润滑脂</w:t>
            </w:r>
          </w:p>
        </w:tc>
        <w:tc>
          <w:tcPr>
            <w:tcW w:w="2505" w:type="dxa"/>
            <w:tcBorders>
              <w:top w:val="nil"/>
              <w:left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长城7014-1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5" w:hRule="atLeast"/>
          <w:jc w:val="center"/>
        </w:trPr>
        <w:tc>
          <w:tcPr>
            <w:tcW w:w="2158" w:type="dxa"/>
            <w:tcBorders>
              <w:top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动力、控制电缆</w:t>
            </w:r>
          </w:p>
        </w:tc>
        <w:tc>
          <w:tcPr>
            <w:tcW w:w="2505" w:type="dxa"/>
            <w:tcBorders>
              <w:top w:val="nil"/>
              <w:left w:val="nil"/>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上上</w:t>
            </w:r>
          </w:p>
        </w:tc>
      </w:tr>
    </w:tbl>
    <w:p>
      <w:pPr>
        <w:pStyle w:val="5"/>
        <w:overflowPunct w:val="0"/>
        <w:spacing w:beforeLines="50" w:afterLines="50"/>
        <w:ind w:firstLine="482"/>
        <w:rPr>
          <w:rFonts w:ascii="宋体" w:hAnsi="宋体" w:cs="宋体"/>
          <w:b/>
          <w:color w:val="FF0000"/>
        </w:rPr>
      </w:pPr>
      <w:r>
        <w:rPr>
          <w:rFonts w:hint="eastAsia" w:ascii="宋体" w:hAnsi="宋体" w:cs="宋体"/>
          <w:b/>
          <w:color w:val="FF0000"/>
        </w:rPr>
        <w:t>*5.5.1其中关于SKF轴承具体要求为：</w:t>
      </w:r>
    </w:p>
    <w:p>
      <w:pPr>
        <w:pStyle w:val="5"/>
        <w:overflowPunct w:val="0"/>
        <w:spacing w:beforeLines="50"/>
        <w:ind w:firstLine="482"/>
        <w:rPr>
          <w:rFonts w:ascii="宋体" w:hAnsi="宋体" w:cs="宋体"/>
          <w:b/>
          <w:color w:val="FF0000"/>
        </w:rPr>
      </w:pPr>
      <w:r>
        <w:rPr>
          <w:rFonts w:hint="eastAsia" w:ascii="宋体" w:hAnsi="宋体" w:cs="宋体"/>
          <w:b/>
          <w:color w:val="FF0000"/>
        </w:rPr>
        <w:t>如深沟球轴承为开式结构的，填充长城7014-1润滑脂；</w:t>
      </w:r>
    </w:p>
    <w:p>
      <w:pPr>
        <w:pStyle w:val="5"/>
        <w:overflowPunct w:val="0"/>
        <w:ind w:firstLine="482"/>
        <w:rPr>
          <w:rFonts w:ascii="宋体" w:hAnsi="宋体" w:cs="宋体"/>
          <w:b/>
          <w:color w:val="FF0000"/>
        </w:rPr>
      </w:pPr>
      <w:r>
        <w:rPr>
          <w:rFonts w:hint="eastAsia" w:ascii="宋体" w:hAnsi="宋体" w:cs="宋体"/>
          <w:b/>
          <w:color w:val="FF0000"/>
        </w:rPr>
        <w:t>单列圆柱滚子轴承需为尼龙保持架形式（ECP），填充长城7014-1润滑脂；</w:t>
      </w:r>
    </w:p>
    <w:p>
      <w:pPr>
        <w:pStyle w:val="5"/>
        <w:overflowPunct w:val="0"/>
        <w:ind w:firstLine="482"/>
        <w:rPr>
          <w:rFonts w:ascii="宋体" w:hAnsi="宋体" w:cs="宋体"/>
          <w:b/>
          <w:color w:val="FF0000"/>
        </w:rPr>
      </w:pPr>
      <w:r>
        <w:rPr>
          <w:rFonts w:hint="eastAsia" w:ascii="宋体" w:hAnsi="宋体" w:cs="宋体"/>
          <w:b/>
          <w:color w:val="FF0000"/>
        </w:rPr>
        <w:t>成对安装的单列角接触轴承需为自由配对形式，优先使用尼龙保持架（BECBP），无尼龙保持架的选用铜保持架（BCBM），填充长城7014-1润滑脂。</w:t>
      </w:r>
    </w:p>
    <w:p>
      <w:pPr>
        <w:pStyle w:val="5"/>
        <w:overflowPunct w:val="0"/>
        <w:ind w:firstLine="482"/>
        <w:rPr>
          <w:rFonts w:ascii="宋体" w:hAnsi="宋体" w:cs="宋体"/>
          <w:b/>
          <w:color w:val="FF0000"/>
        </w:rPr>
      </w:pPr>
      <w:r>
        <w:rPr>
          <w:rFonts w:hint="eastAsia" w:ascii="宋体" w:hAnsi="宋体" w:cs="宋体"/>
          <w:b/>
          <w:color w:val="FF0000"/>
        </w:rPr>
        <w:t>*5.5.2提供正规渠道购买SKF轴承的有效发票。</w:t>
      </w:r>
    </w:p>
    <w:p>
      <w:pPr>
        <w:pStyle w:val="5"/>
        <w:overflowPunct w:val="0"/>
        <w:ind w:firstLine="482"/>
        <w:rPr>
          <w:rFonts w:ascii="宋体" w:hAnsi="宋体" w:cs="宋体"/>
          <w:b/>
          <w:color w:val="FF0000"/>
        </w:rPr>
      </w:pPr>
      <w:r>
        <w:rPr>
          <w:rFonts w:hint="eastAsia" w:ascii="宋体" w:hAnsi="宋体" w:cs="宋体"/>
          <w:b/>
          <w:color w:val="FF0000"/>
        </w:rPr>
        <w:t>*5.5.3转子轴镶套维修时，金加工后的镶套层壁厚约2-3mm，套与轴需过盈配合20丝，必须采用加热镶套的形式，禁止使用液压压机等方式进行冷镶套。</w:t>
      </w:r>
    </w:p>
    <w:p>
      <w:pPr>
        <w:pStyle w:val="5"/>
        <w:overflowPunct w:val="0"/>
        <w:ind w:firstLine="482"/>
        <w:rPr>
          <w:rFonts w:ascii="宋体" w:hAnsi="宋体" w:cs="宋体"/>
          <w:b/>
          <w:color w:val="FF0000"/>
        </w:rPr>
      </w:pPr>
      <w:r>
        <w:rPr>
          <w:rFonts w:hint="eastAsia" w:ascii="宋体" w:hAnsi="宋体" w:cs="宋体"/>
          <w:b/>
          <w:color w:val="FF0000"/>
        </w:rPr>
        <w:t>*5.5.4依照JB/T8563-2010《滚动轴承-机电设备轴连轴承》的标准，对转子轴进行镶套修补时，要求镶套后的泵轴轴承段表面粗糙度为Ra0.63，需精车或磨削加工。机械密封段镶套后的表面粗糙度要求为Ra3.2。</w:t>
      </w:r>
    </w:p>
    <w:p>
      <w:pPr>
        <w:pStyle w:val="5"/>
        <w:overflowPunct w:val="0"/>
        <w:ind w:firstLine="482"/>
        <w:rPr>
          <w:rFonts w:ascii="宋体" w:hAnsi="宋体" w:cs="宋体"/>
          <w:b/>
          <w:color w:val="FF0000"/>
        </w:rPr>
      </w:pPr>
      <w:r>
        <w:rPr>
          <w:rFonts w:hint="eastAsia" w:ascii="宋体" w:hAnsi="宋体" w:cs="宋体"/>
          <w:b/>
          <w:color w:val="FF0000"/>
        </w:rPr>
        <w:t>*5.5.5电机绕组线圈必须为QZY_2/180型的聚酰胺亚胺漆、厚漆膜、180度温升铜质漆包线，完成漆包线绕组镶嵌之后进行浸漆烘干。</w:t>
      </w:r>
    </w:p>
    <w:p>
      <w:pPr>
        <w:pStyle w:val="5"/>
        <w:overflowPunct w:val="0"/>
        <w:ind w:firstLine="482"/>
        <w:rPr>
          <w:rFonts w:ascii="宋体" w:hAnsi="宋体" w:cs="宋体"/>
          <w:b/>
          <w:color w:val="FF0000"/>
        </w:rPr>
      </w:pPr>
      <w:r>
        <w:rPr>
          <w:rFonts w:hint="eastAsia" w:ascii="宋体" w:hAnsi="宋体" w:cs="宋体"/>
          <w:b/>
          <w:color w:val="FF0000"/>
        </w:rPr>
        <w:t>6、招标采购清单</w:t>
      </w:r>
    </w:p>
    <w:p>
      <w:pPr>
        <w:pStyle w:val="5"/>
        <w:overflowPunct w:val="0"/>
        <w:ind w:firstLine="480"/>
        <w:rPr>
          <w:rFonts w:ascii="宋体" w:hAnsi="宋体" w:cs="宋体"/>
          <w:b/>
          <w:color w:val="FF0000"/>
        </w:rPr>
      </w:pPr>
      <w:r>
        <w:rPr>
          <w:rFonts w:hint="eastAsia" w:ascii="宋体" w:hAnsi="宋体" w:cs="宋体"/>
          <w:color w:val="FF0000"/>
        </w:rPr>
        <w:t>常州市连城管道网络有限公司的所有潜水排污泵中，11KW以下占比42.41%，15-22KW占比19.83%，30-45KW占比24.05%，55KW以上占比13.71%。招标单位对11KW以下的潜水排污泵自行进行定期保养工作，因此11KW以上的潜水排污泵有定期保养费报价。</w:t>
      </w:r>
    </w:p>
    <w:p>
      <w:pPr>
        <w:pStyle w:val="5"/>
        <w:overflowPunct w:val="0"/>
        <w:ind w:firstLine="482"/>
        <w:rPr>
          <w:rFonts w:ascii="宋体" w:hAnsi="宋体" w:cs="宋体"/>
          <w:b/>
          <w:color w:val="FF0000"/>
        </w:rPr>
      </w:pPr>
      <w:r>
        <w:rPr>
          <w:rFonts w:hint="eastAsia" w:ascii="宋体" w:hAnsi="宋体" w:cs="宋体"/>
          <w:b/>
          <w:color w:val="FF0000"/>
        </w:rPr>
        <w:t>*下列清单的各类型机电设备的规格数量是按现有机电设备的占比进行模拟，该清单的分项单价为甲方制定的基准价。投标人的报价方式为清单总价基础上申报优惠比例（百分比），不再进行分项报价。</w:t>
      </w:r>
    </w:p>
    <w:p>
      <w:pPr>
        <w:pStyle w:val="5"/>
        <w:overflowPunct w:val="0"/>
        <w:ind w:firstLine="482"/>
        <w:rPr>
          <w:rFonts w:ascii="宋体" w:hAnsi="宋体" w:cs="宋体"/>
          <w:b/>
          <w:color w:val="FF0000"/>
        </w:rPr>
      </w:pPr>
      <w:r>
        <w:rPr>
          <w:rFonts w:hint="eastAsia" w:ascii="宋体" w:hAnsi="宋体" w:cs="宋体"/>
          <w:b/>
          <w:color w:val="FF0000"/>
        </w:rPr>
        <w:t>*此次招投标采购清单中的各项报价仅作为中标后买卖双方签订合同的单价依据，双方按照实际维修及保养的签证内容，依照中标的分项单价乘以中标人的优惠比例计价付款，招标采购清单的总价与实际的支付总价无关。</w:t>
      </w:r>
    </w:p>
    <w:p>
      <w:pPr>
        <w:pStyle w:val="5"/>
        <w:overflowPunct w:val="0"/>
        <w:ind w:firstLine="482"/>
        <w:rPr>
          <w:rFonts w:ascii="宋体" w:hAnsi="宋体" w:cs="宋体"/>
          <w:color w:val="FF0000"/>
        </w:rPr>
      </w:pPr>
      <w:r>
        <w:rPr>
          <w:rFonts w:hint="eastAsia" w:ascii="宋体" w:hAnsi="宋体" w:cs="宋体"/>
          <w:b/>
          <w:color w:val="FF0000"/>
        </w:rPr>
        <w:t>进行电机定子线圈重绕的维修时，废旧线圈归维修方所有。</w:t>
      </w:r>
    </w:p>
    <w:p>
      <w:pPr>
        <w:pStyle w:val="5"/>
        <w:overflowPunct w:val="0"/>
        <w:spacing w:line="360" w:lineRule="auto"/>
        <w:ind w:firstLine="480"/>
        <w:rPr>
          <w:rFonts w:ascii="宋体" w:hAnsi="宋体" w:cs="宋体"/>
        </w:rPr>
        <w:sectPr>
          <w:footerReference r:id="rId9" w:type="default"/>
          <w:pgSz w:w="11906" w:h="16838"/>
          <w:pgMar w:top="1440" w:right="1797" w:bottom="1440" w:left="1797" w:header="851" w:footer="992" w:gutter="0"/>
          <w:cols w:space="720" w:num="1"/>
          <w:docGrid w:linePitch="312" w:charSpace="0"/>
        </w:sectPr>
      </w:pPr>
    </w:p>
    <w:tbl>
      <w:tblPr>
        <w:tblStyle w:val="58"/>
        <w:tblW w:w="20958" w:type="dxa"/>
        <w:jc w:val="center"/>
        <w:tblInd w:w="0" w:type="dxa"/>
        <w:tblLayout w:type="fixed"/>
        <w:tblCellMar>
          <w:top w:w="0" w:type="dxa"/>
          <w:left w:w="0" w:type="dxa"/>
          <w:bottom w:w="0" w:type="dxa"/>
          <w:right w:w="0" w:type="dxa"/>
        </w:tblCellMar>
      </w:tblPr>
      <w:tblGrid>
        <w:gridCol w:w="688"/>
        <w:gridCol w:w="1341"/>
        <w:gridCol w:w="1270"/>
        <w:gridCol w:w="1157"/>
        <w:gridCol w:w="1517"/>
        <w:gridCol w:w="1027"/>
        <w:gridCol w:w="1161"/>
        <w:gridCol w:w="1157"/>
        <w:gridCol w:w="1333"/>
        <w:gridCol w:w="956"/>
        <w:gridCol w:w="918"/>
        <w:gridCol w:w="1346"/>
        <w:gridCol w:w="1207"/>
        <w:gridCol w:w="1207"/>
        <w:gridCol w:w="1769"/>
        <w:gridCol w:w="1454"/>
        <w:gridCol w:w="1450"/>
      </w:tblGrid>
      <w:tr>
        <w:tblPrEx>
          <w:tblLayout w:type="fixed"/>
          <w:tblCellMar>
            <w:top w:w="0" w:type="dxa"/>
            <w:left w:w="0" w:type="dxa"/>
            <w:bottom w:w="0" w:type="dxa"/>
            <w:right w:w="0" w:type="dxa"/>
          </w:tblCellMar>
        </w:tblPrEx>
        <w:trPr>
          <w:trHeight w:val="341" w:hRule="atLeast"/>
          <w:jc w:val="center"/>
        </w:trPr>
        <w:tc>
          <w:tcPr>
            <w:tcW w:w="688"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序号</w:t>
            </w:r>
          </w:p>
        </w:tc>
        <w:tc>
          <w:tcPr>
            <w:tcW w:w="1341"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类型</w:t>
            </w:r>
          </w:p>
        </w:tc>
        <w:tc>
          <w:tcPr>
            <w:tcW w:w="127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名称</w:t>
            </w:r>
          </w:p>
        </w:tc>
        <w:tc>
          <w:tcPr>
            <w:tcW w:w="11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电机烘干</w:t>
            </w:r>
          </w:p>
        </w:tc>
        <w:tc>
          <w:tcPr>
            <w:tcW w:w="1517"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机械密封</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上轴承</w:t>
            </w:r>
          </w:p>
        </w:tc>
        <w:tc>
          <w:tcPr>
            <w:tcW w:w="1161"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下轴承</w:t>
            </w:r>
          </w:p>
        </w:tc>
        <w:tc>
          <w:tcPr>
            <w:tcW w:w="11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转子镶套</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油腔室油</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润滑脂</w:t>
            </w:r>
          </w:p>
        </w:tc>
        <w:tc>
          <w:tcPr>
            <w:tcW w:w="918"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全套</w:t>
            </w:r>
          </w:p>
        </w:tc>
        <w:tc>
          <w:tcPr>
            <w:tcW w:w="1346"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动力电缆</w:t>
            </w:r>
          </w:p>
        </w:tc>
        <w:tc>
          <w:tcPr>
            <w:tcW w:w="1207"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信号电缆</w:t>
            </w:r>
          </w:p>
        </w:tc>
        <w:tc>
          <w:tcPr>
            <w:tcW w:w="120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除锈上漆</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运输/安装/调试费用(来回）</w:t>
            </w:r>
          </w:p>
        </w:tc>
        <w:tc>
          <w:tcPr>
            <w:tcW w:w="145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故障维修费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定期保养费</w:t>
            </w:r>
          </w:p>
        </w:tc>
      </w:tr>
      <w:tr>
        <w:tblPrEx>
          <w:tblLayout w:type="fixed"/>
          <w:tblCellMar>
            <w:top w:w="0" w:type="dxa"/>
            <w:left w:w="0" w:type="dxa"/>
            <w:bottom w:w="0" w:type="dxa"/>
            <w:right w:w="0" w:type="dxa"/>
          </w:tblCellMar>
        </w:tblPrEx>
        <w:trPr>
          <w:trHeight w:val="341"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b/>
                <w:bCs/>
                <w:szCs w:val="21"/>
              </w:rPr>
            </w:pPr>
            <w:r>
              <w:rPr>
                <w:rFonts w:hint="eastAsia"/>
                <w:b/>
                <w:bCs/>
                <w:szCs w:val="21"/>
              </w:rPr>
              <w:t>（单个）</w:t>
            </w:r>
          </w:p>
        </w:tc>
        <w:tc>
          <w:tcPr>
            <w:tcW w:w="1027"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116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b/>
                <w:bCs/>
                <w:szCs w:val="21"/>
              </w:rPr>
            </w:pPr>
            <w:r>
              <w:rPr>
                <w:rFonts w:hint="eastAsia"/>
                <w:b/>
                <w:bCs/>
                <w:szCs w:val="21"/>
              </w:rPr>
              <w:t>（单个）</w:t>
            </w:r>
          </w:p>
        </w:tc>
        <w:tc>
          <w:tcPr>
            <w:tcW w:w="1157"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1333"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956"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91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O型圈</w:t>
            </w: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元/米</w:t>
            </w:r>
          </w:p>
        </w:tc>
        <w:tc>
          <w:tcPr>
            <w:tcW w:w="120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元/米</w:t>
            </w: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341" w:hRule="atLeast"/>
          <w:jc w:val="center"/>
        </w:trPr>
        <w:tc>
          <w:tcPr>
            <w:tcW w:w="68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w:t>
            </w:r>
          </w:p>
        </w:tc>
        <w:tc>
          <w:tcPr>
            <w:tcW w:w="134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潜污泵</w:t>
            </w:r>
          </w:p>
        </w:tc>
        <w:tc>
          <w:tcPr>
            <w:tcW w:w="127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型号</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51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Φ20双端面</w:t>
            </w:r>
          </w:p>
        </w:tc>
        <w:tc>
          <w:tcPr>
            <w:tcW w:w="102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6303</w:t>
            </w:r>
          </w:p>
        </w:tc>
        <w:tc>
          <w:tcPr>
            <w:tcW w:w="116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7304</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2cr13</w:t>
            </w:r>
          </w:p>
        </w:tc>
        <w:tc>
          <w:tcPr>
            <w:tcW w:w="1333"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32#机械油</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长城</w:t>
            </w:r>
          </w:p>
        </w:tc>
        <w:tc>
          <w:tcPr>
            <w:tcW w:w="91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3*2.5+</w:t>
            </w:r>
          </w:p>
        </w:tc>
        <w:tc>
          <w:tcPr>
            <w:tcW w:w="120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207" w:type="dxa"/>
            <w:vMerge w:val="restart"/>
            <w:tcBorders>
              <w:top w:val="nil"/>
              <w:left w:val="single" w:color="auto" w:sz="4" w:space="0"/>
              <w:bottom w:val="single" w:color="000000"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1769"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4"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bookmarkStart w:id="94" w:name="RANGE!P3"/>
            <w:r>
              <w:rPr>
                <w:rFonts w:hint="eastAsia"/>
                <w:szCs w:val="21"/>
              </w:rPr>
              <w:t>—</w:t>
            </w:r>
            <w:bookmarkEnd w:id="94"/>
          </w:p>
        </w:tc>
        <w:tc>
          <w:tcPr>
            <w:tcW w:w="145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r>
      <w:tr>
        <w:tblPrEx>
          <w:tblLayout w:type="fixed"/>
          <w:tblCellMar>
            <w:top w:w="0" w:type="dxa"/>
            <w:left w:w="0" w:type="dxa"/>
            <w:bottom w:w="0" w:type="dxa"/>
            <w:right w:w="0" w:type="dxa"/>
          </w:tblCellMar>
        </w:tblPrEx>
        <w:trPr>
          <w:trHeight w:val="307"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7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2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6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33"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ascii="宋体" w:hAnsi="宋体" w:cs="宋体"/>
                <w:szCs w:val="21"/>
              </w:rPr>
            </w:pPr>
            <w:r>
              <w:rPr>
                <w:rFonts w:hint="eastAsia"/>
                <w:szCs w:val="21"/>
              </w:rPr>
              <w:t>7014-1</w:t>
            </w:r>
          </w:p>
        </w:tc>
        <w:tc>
          <w:tcPr>
            <w:tcW w:w="91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1*1.5</w:t>
            </w:r>
          </w:p>
        </w:tc>
        <w:tc>
          <w:tcPr>
            <w:tcW w:w="120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769"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341"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1.5-2.2kw</w:t>
            </w:r>
          </w:p>
        </w:tc>
        <w:tc>
          <w:tcPr>
            <w:tcW w:w="127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价格（元）</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w:t>
            </w:r>
          </w:p>
        </w:tc>
        <w:tc>
          <w:tcPr>
            <w:tcW w:w="151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130</w:t>
            </w:r>
          </w:p>
        </w:tc>
        <w:tc>
          <w:tcPr>
            <w:tcW w:w="102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45</w:t>
            </w:r>
          </w:p>
        </w:tc>
        <w:tc>
          <w:tcPr>
            <w:tcW w:w="116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140</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300</w:t>
            </w:r>
          </w:p>
        </w:tc>
        <w:tc>
          <w:tcPr>
            <w:tcW w:w="133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80</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50</w:t>
            </w:r>
          </w:p>
        </w:tc>
        <w:tc>
          <w:tcPr>
            <w:tcW w:w="91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50</w:t>
            </w: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18</w:t>
            </w:r>
          </w:p>
        </w:tc>
        <w:tc>
          <w:tcPr>
            <w:tcW w:w="120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207" w:type="dxa"/>
            <w:vMerge w:val="continue"/>
            <w:tcBorders>
              <w:top w:val="nil"/>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1769"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400</w:t>
            </w:r>
          </w:p>
        </w:tc>
        <w:tc>
          <w:tcPr>
            <w:tcW w:w="145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400</w:t>
            </w:r>
          </w:p>
        </w:tc>
        <w:tc>
          <w:tcPr>
            <w:tcW w:w="145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r>
      <w:tr>
        <w:tblPrEx>
          <w:tblLayout w:type="fixed"/>
          <w:tblCellMar>
            <w:top w:w="0" w:type="dxa"/>
            <w:left w:w="0" w:type="dxa"/>
            <w:bottom w:w="0" w:type="dxa"/>
            <w:right w:w="0" w:type="dxa"/>
          </w:tblCellMar>
        </w:tblPrEx>
        <w:trPr>
          <w:trHeight w:val="341" w:hRule="atLeast"/>
          <w:jc w:val="center"/>
        </w:trPr>
        <w:tc>
          <w:tcPr>
            <w:tcW w:w="68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w:t>
            </w:r>
          </w:p>
        </w:tc>
        <w:tc>
          <w:tcPr>
            <w:tcW w:w="134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潜污泵</w:t>
            </w:r>
          </w:p>
        </w:tc>
        <w:tc>
          <w:tcPr>
            <w:tcW w:w="127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型号</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51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Φ25双端面</w:t>
            </w:r>
          </w:p>
        </w:tc>
        <w:tc>
          <w:tcPr>
            <w:tcW w:w="102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6307</w:t>
            </w:r>
          </w:p>
        </w:tc>
        <w:tc>
          <w:tcPr>
            <w:tcW w:w="116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7307</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2cr13</w:t>
            </w:r>
          </w:p>
        </w:tc>
        <w:tc>
          <w:tcPr>
            <w:tcW w:w="1333"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32#机械油</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长城</w:t>
            </w:r>
          </w:p>
        </w:tc>
        <w:tc>
          <w:tcPr>
            <w:tcW w:w="91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346"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3*4+1*2.5</w:t>
            </w:r>
          </w:p>
        </w:tc>
        <w:tc>
          <w:tcPr>
            <w:tcW w:w="120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207" w:type="dxa"/>
            <w:vMerge w:val="restart"/>
            <w:tcBorders>
              <w:top w:val="nil"/>
              <w:left w:val="single" w:color="auto" w:sz="4" w:space="0"/>
              <w:bottom w:val="single" w:color="000000"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1769"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4"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r>
      <w:tr>
        <w:tblPrEx>
          <w:tblLayout w:type="fixed"/>
          <w:tblCellMar>
            <w:top w:w="0" w:type="dxa"/>
            <w:left w:w="0" w:type="dxa"/>
            <w:bottom w:w="0" w:type="dxa"/>
            <w:right w:w="0" w:type="dxa"/>
          </w:tblCellMar>
        </w:tblPrEx>
        <w:trPr>
          <w:trHeight w:val="307"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7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2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6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33"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ascii="宋体" w:hAnsi="宋体" w:cs="宋体"/>
                <w:szCs w:val="21"/>
              </w:rPr>
            </w:pPr>
            <w:r>
              <w:rPr>
                <w:rFonts w:hint="eastAsia"/>
                <w:szCs w:val="21"/>
              </w:rPr>
              <w:t>7014-1</w:t>
            </w:r>
          </w:p>
        </w:tc>
        <w:tc>
          <w:tcPr>
            <w:tcW w:w="91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6"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769"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341"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3-4kw</w:t>
            </w:r>
          </w:p>
        </w:tc>
        <w:tc>
          <w:tcPr>
            <w:tcW w:w="127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价格（元）</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151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220</w:t>
            </w:r>
          </w:p>
        </w:tc>
        <w:tc>
          <w:tcPr>
            <w:tcW w:w="102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80</w:t>
            </w:r>
          </w:p>
        </w:tc>
        <w:tc>
          <w:tcPr>
            <w:tcW w:w="116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400</w:t>
            </w:r>
          </w:p>
        </w:tc>
        <w:tc>
          <w:tcPr>
            <w:tcW w:w="133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50</w:t>
            </w:r>
          </w:p>
        </w:tc>
        <w:tc>
          <w:tcPr>
            <w:tcW w:w="91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50</w:t>
            </w: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25</w:t>
            </w:r>
          </w:p>
        </w:tc>
        <w:tc>
          <w:tcPr>
            <w:tcW w:w="120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207" w:type="dxa"/>
            <w:vMerge w:val="continue"/>
            <w:tcBorders>
              <w:top w:val="nil"/>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1769"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400</w:t>
            </w:r>
          </w:p>
        </w:tc>
        <w:tc>
          <w:tcPr>
            <w:tcW w:w="145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500</w:t>
            </w:r>
          </w:p>
        </w:tc>
        <w:tc>
          <w:tcPr>
            <w:tcW w:w="145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r>
      <w:tr>
        <w:tblPrEx>
          <w:tblLayout w:type="fixed"/>
          <w:tblCellMar>
            <w:top w:w="0" w:type="dxa"/>
            <w:left w:w="0" w:type="dxa"/>
            <w:bottom w:w="0" w:type="dxa"/>
            <w:right w:w="0" w:type="dxa"/>
          </w:tblCellMar>
        </w:tblPrEx>
        <w:trPr>
          <w:trHeight w:val="341" w:hRule="atLeast"/>
          <w:jc w:val="center"/>
        </w:trPr>
        <w:tc>
          <w:tcPr>
            <w:tcW w:w="68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w:t>
            </w:r>
          </w:p>
        </w:tc>
        <w:tc>
          <w:tcPr>
            <w:tcW w:w="134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潜污泵</w:t>
            </w:r>
          </w:p>
        </w:tc>
        <w:tc>
          <w:tcPr>
            <w:tcW w:w="127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型号</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51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Φ38双端面</w:t>
            </w:r>
          </w:p>
        </w:tc>
        <w:tc>
          <w:tcPr>
            <w:tcW w:w="102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6308</w:t>
            </w:r>
          </w:p>
        </w:tc>
        <w:tc>
          <w:tcPr>
            <w:tcW w:w="116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7408</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2cr13</w:t>
            </w:r>
          </w:p>
        </w:tc>
        <w:tc>
          <w:tcPr>
            <w:tcW w:w="1333"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32#机械油</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长城</w:t>
            </w:r>
          </w:p>
        </w:tc>
        <w:tc>
          <w:tcPr>
            <w:tcW w:w="91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346"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3*6+1*4</w:t>
            </w:r>
          </w:p>
        </w:tc>
        <w:tc>
          <w:tcPr>
            <w:tcW w:w="120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3*1.5</w:t>
            </w:r>
          </w:p>
        </w:tc>
        <w:tc>
          <w:tcPr>
            <w:tcW w:w="1207" w:type="dxa"/>
            <w:vMerge w:val="restart"/>
            <w:tcBorders>
              <w:top w:val="nil"/>
              <w:left w:val="single" w:color="auto" w:sz="4" w:space="0"/>
              <w:bottom w:val="single" w:color="000000"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300</w:t>
            </w:r>
          </w:p>
        </w:tc>
        <w:tc>
          <w:tcPr>
            <w:tcW w:w="1769"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4"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r>
      <w:tr>
        <w:tblPrEx>
          <w:tblLayout w:type="fixed"/>
          <w:tblCellMar>
            <w:top w:w="0" w:type="dxa"/>
            <w:left w:w="0" w:type="dxa"/>
            <w:bottom w:w="0" w:type="dxa"/>
            <w:right w:w="0" w:type="dxa"/>
          </w:tblCellMar>
        </w:tblPrEx>
        <w:trPr>
          <w:trHeight w:val="307"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7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2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6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33"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ascii="宋体" w:hAnsi="宋体" w:cs="宋体"/>
                <w:szCs w:val="21"/>
              </w:rPr>
            </w:pPr>
            <w:r>
              <w:rPr>
                <w:rFonts w:hint="eastAsia"/>
                <w:szCs w:val="21"/>
              </w:rPr>
              <w:t>7014-1</w:t>
            </w:r>
          </w:p>
        </w:tc>
        <w:tc>
          <w:tcPr>
            <w:tcW w:w="91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6"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769"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341"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5.5-7.5kw</w:t>
            </w:r>
          </w:p>
        </w:tc>
        <w:tc>
          <w:tcPr>
            <w:tcW w:w="127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价格（元）</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151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500</w:t>
            </w:r>
          </w:p>
        </w:tc>
        <w:tc>
          <w:tcPr>
            <w:tcW w:w="102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w:t>
            </w:r>
          </w:p>
        </w:tc>
        <w:tc>
          <w:tcPr>
            <w:tcW w:w="116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450</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500</w:t>
            </w:r>
          </w:p>
        </w:tc>
        <w:tc>
          <w:tcPr>
            <w:tcW w:w="133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w:t>
            </w:r>
          </w:p>
        </w:tc>
        <w:tc>
          <w:tcPr>
            <w:tcW w:w="91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w:t>
            </w: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40</w:t>
            </w:r>
          </w:p>
        </w:tc>
        <w:tc>
          <w:tcPr>
            <w:tcW w:w="120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w:t>
            </w:r>
          </w:p>
        </w:tc>
        <w:tc>
          <w:tcPr>
            <w:tcW w:w="1207" w:type="dxa"/>
            <w:vMerge w:val="continue"/>
            <w:tcBorders>
              <w:top w:val="nil"/>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1769"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800</w:t>
            </w:r>
          </w:p>
        </w:tc>
        <w:tc>
          <w:tcPr>
            <w:tcW w:w="145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1000</w:t>
            </w:r>
          </w:p>
        </w:tc>
        <w:tc>
          <w:tcPr>
            <w:tcW w:w="145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r>
      <w:tr>
        <w:tblPrEx>
          <w:tblLayout w:type="fixed"/>
          <w:tblCellMar>
            <w:top w:w="0" w:type="dxa"/>
            <w:left w:w="0" w:type="dxa"/>
            <w:bottom w:w="0" w:type="dxa"/>
            <w:right w:w="0" w:type="dxa"/>
          </w:tblCellMar>
        </w:tblPrEx>
        <w:trPr>
          <w:trHeight w:val="341" w:hRule="atLeast"/>
          <w:jc w:val="center"/>
        </w:trPr>
        <w:tc>
          <w:tcPr>
            <w:tcW w:w="68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4</w:t>
            </w:r>
          </w:p>
        </w:tc>
        <w:tc>
          <w:tcPr>
            <w:tcW w:w="134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潜污泵</w:t>
            </w:r>
          </w:p>
        </w:tc>
        <w:tc>
          <w:tcPr>
            <w:tcW w:w="127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型号</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51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Φ50双端面</w:t>
            </w:r>
          </w:p>
        </w:tc>
        <w:tc>
          <w:tcPr>
            <w:tcW w:w="102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6310</w:t>
            </w:r>
          </w:p>
        </w:tc>
        <w:tc>
          <w:tcPr>
            <w:tcW w:w="116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7410</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2cr13</w:t>
            </w:r>
          </w:p>
        </w:tc>
        <w:tc>
          <w:tcPr>
            <w:tcW w:w="1333"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32#机械油</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长城</w:t>
            </w:r>
          </w:p>
        </w:tc>
        <w:tc>
          <w:tcPr>
            <w:tcW w:w="91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346"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3*10+1*4</w:t>
            </w:r>
          </w:p>
        </w:tc>
        <w:tc>
          <w:tcPr>
            <w:tcW w:w="120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3*1.5</w:t>
            </w:r>
          </w:p>
        </w:tc>
        <w:tc>
          <w:tcPr>
            <w:tcW w:w="1207" w:type="dxa"/>
            <w:vMerge w:val="restart"/>
            <w:tcBorders>
              <w:top w:val="nil"/>
              <w:left w:val="single" w:color="auto" w:sz="4" w:space="0"/>
              <w:bottom w:val="single" w:color="000000"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400</w:t>
            </w:r>
          </w:p>
        </w:tc>
        <w:tc>
          <w:tcPr>
            <w:tcW w:w="1769"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4"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r>
      <w:tr>
        <w:tblPrEx>
          <w:tblLayout w:type="fixed"/>
          <w:tblCellMar>
            <w:top w:w="0" w:type="dxa"/>
            <w:left w:w="0" w:type="dxa"/>
            <w:bottom w:w="0" w:type="dxa"/>
            <w:right w:w="0" w:type="dxa"/>
          </w:tblCellMar>
        </w:tblPrEx>
        <w:trPr>
          <w:trHeight w:val="307"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7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2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6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33"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ascii="宋体" w:hAnsi="宋体" w:cs="宋体"/>
                <w:szCs w:val="21"/>
              </w:rPr>
            </w:pPr>
            <w:r>
              <w:rPr>
                <w:rFonts w:hint="eastAsia"/>
                <w:szCs w:val="21"/>
              </w:rPr>
              <w:t>7014-1</w:t>
            </w:r>
          </w:p>
        </w:tc>
        <w:tc>
          <w:tcPr>
            <w:tcW w:w="91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6"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769"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341"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11-22kw</w:t>
            </w:r>
          </w:p>
        </w:tc>
        <w:tc>
          <w:tcPr>
            <w:tcW w:w="127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价格（元）</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500</w:t>
            </w:r>
          </w:p>
        </w:tc>
        <w:tc>
          <w:tcPr>
            <w:tcW w:w="151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700</w:t>
            </w:r>
          </w:p>
        </w:tc>
        <w:tc>
          <w:tcPr>
            <w:tcW w:w="102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116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700</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800</w:t>
            </w:r>
          </w:p>
        </w:tc>
        <w:tc>
          <w:tcPr>
            <w:tcW w:w="133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w:t>
            </w:r>
          </w:p>
        </w:tc>
        <w:tc>
          <w:tcPr>
            <w:tcW w:w="91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w:t>
            </w: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50</w:t>
            </w:r>
          </w:p>
        </w:tc>
        <w:tc>
          <w:tcPr>
            <w:tcW w:w="120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w:t>
            </w:r>
          </w:p>
        </w:tc>
        <w:tc>
          <w:tcPr>
            <w:tcW w:w="1207" w:type="dxa"/>
            <w:vMerge w:val="continue"/>
            <w:tcBorders>
              <w:top w:val="nil"/>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1769"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800</w:t>
            </w:r>
          </w:p>
        </w:tc>
        <w:tc>
          <w:tcPr>
            <w:tcW w:w="145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1500</w:t>
            </w:r>
          </w:p>
        </w:tc>
        <w:tc>
          <w:tcPr>
            <w:tcW w:w="145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600</w:t>
            </w:r>
          </w:p>
        </w:tc>
      </w:tr>
      <w:tr>
        <w:tblPrEx>
          <w:tblLayout w:type="fixed"/>
          <w:tblCellMar>
            <w:top w:w="0" w:type="dxa"/>
            <w:left w:w="0" w:type="dxa"/>
            <w:bottom w:w="0" w:type="dxa"/>
            <w:right w:w="0" w:type="dxa"/>
          </w:tblCellMar>
        </w:tblPrEx>
        <w:trPr>
          <w:trHeight w:val="341" w:hRule="atLeast"/>
          <w:jc w:val="center"/>
        </w:trPr>
        <w:tc>
          <w:tcPr>
            <w:tcW w:w="68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w:t>
            </w:r>
          </w:p>
        </w:tc>
        <w:tc>
          <w:tcPr>
            <w:tcW w:w="134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潜污泵</w:t>
            </w:r>
          </w:p>
        </w:tc>
        <w:tc>
          <w:tcPr>
            <w:tcW w:w="127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型号</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51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Φ75双端面</w:t>
            </w:r>
          </w:p>
        </w:tc>
        <w:tc>
          <w:tcPr>
            <w:tcW w:w="102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NU211</w:t>
            </w:r>
          </w:p>
        </w:tc>
        <w:tc>
          <w:tcPr>
            <w:tcW w:w="116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7316</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2cr13</w:t>
            </w:r>
          </w:p>
        </w:tc>
        <w:tc>
          <w:tcPr>
            <w:tcW w:w="1333"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32#机械油</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长城</w:t>
            </w:r>
          </w:p>
        </w:tc>
        <w:tc>
          <w:tcPr>
            <w:tcW w:w="91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346"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3*16+1*6</w:t>
            </w:r>
          </w:p>
        </w:tc>
        <w:tc>
          <w:tcPr>
            <w:tcW w:w="120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7*1.5</w:t>
            </w:r>
          </w:p>
        </w:tc>
        <w:tc>
          <w:tcPr>
            <w:tcW w:w="1207" w:type="dxa"/>
            <w:vMerge w:val="restart"/>
            <w:tcBorders>
              <w:top w:val="nil"/>
              <w:left w:val="single" w:color="auto" w:sz="4" w:space="0"/>
              <w:bottom w:val="single" w:color="000000"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500</w:t>
            </w:r>
          </w:p>
        </w:tc>
        <w:tc>
          <w:tcPr>
            <w:tcW w:w="1769"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4"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r>
      <w:tr>
        <w:tblPrEx>
          <w:tblLayout w:type="fixed"/>
          <w:tblCellMar>
            <w:top w:w="0" w:type="dxa"/>
            <w:left w:w="0" w:type="dxa"/>
            <w:bottom w:w="0" w:type="dxa"/>
            <w:right w:w="0" w:type="dxa"/>
          </w:tblCellMar>
        </w:tblPrEx>
        <w:trPr>
          <w:trHeight w:val="307"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7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2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6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33"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ascii="宋体" w:hAnsi="宋体" w:cs="宋体"/>
                <w:szCs w:val="21"/>
              </w:rPr>
            </w:pPr>
            <w:r>
              <w:rPr>
                <w:rFonts w:hint="eastAsia"/>
                <w:szCs w:val="21"/>
              </w:rPr>
              <w:t>7014-1</w:t>
            </w:r>
          </w:p>
        </w:tc>
        <w:tc>
          <w:tcPr>
            <w:tcW w:w="91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6"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769"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341"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30-55kw</w:t>
            </w:r>
          </w:p>
        </w:tc>
        <w:tc>
          <w:tcPr>
            <w:tcW w:w="127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价格（元）</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900</w:t>
            </w:r>
          </w:p>
        </w:tc>
        <w:tc>
          <w:tcPr>
            <w:tcW w:w="151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1500</w:t>
            </w:r>
          </w:p>
        </w:tc>
        <w:tc>
          <w:tcPr>
            <w:tcW w:w="102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700</w:t>
            </w:r>
          </w:p>
        </w:tc>
        <w:tc>
          <w:tcPr>
            <w:tcW w:w="116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2200</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1000</w:t>
            </w:r>
          </w:p>
        </w:tc>
        <w:tc>
          <w:tcPr>
            <w:tcW w:w="133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250</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w:t>
            </w:r>
          </w:p>
        </w:tc>
        <w:tc>
          <w:tcPr>
            <w:tcW w:w="91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w:t>
            </w: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w:t>
            </w:r>
          </w:p>
        </w:tc>
        <w:tc>
          <w:tcPr>
            <w:tcW w:w="120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w:t>
            </w:r>
          </w:p>
        </w:tc>
        <w:tc>
          <w:tcPr>
            <w:tcW w:w="1207" w:type="dxa"/>
            <w:vMerge w:val="continue"/>
            <w:tcBorders>
              <w:top w:val="nil"/>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1769"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600</w:t>
            </w:r>
          </w:p>
        </w:tc>
        <w:tc>
          <w:tcPr>
            <w:tcW w:w="145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2000</w:t>
            </w:r>
          </w:p>
        </w:tc>
        <w:tc>
          <w:tcPr>
            <w:tcW w:w="145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800</w:t>
            </w:r>
          </w:p>
        </w:tc>
      </w:tr>
      <w:tr>
        <w:tblPrEx>
          <w:tblLayout w:type="fixed"/>
          <w:tblCellMar>
            <w:top w:w="0" w:type="dxa"/>
            <w:left w:w="0" w:type="dxa"/>
            <w:bottom w:w="0" w:type="dxa"/>
            <w:right w:w="0" w:type="dxa"/>
          </w:tblCellMar>
        </w:tblPrEx>
        <w:trPr>
          <w:trHeight w:val="341" w:hRule="atLeast"/>
          <w:jc w:val="center"/>
        </w:trPr>
        <w:tc>
          <w:tcPr>
            <w:tcW w:w="68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6</w:t>
            </w:r>
          </w:p>
        </w:tc>
        <w:tc>
          <w:tcPr>
            <w:tcW w:w="134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排涝泵</w:t>
            </w:r>
          </w:p>
        </w:tc>
        <w:tc>
          <w:tcPr>
            <w:tcW w:w="127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型号</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51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U100</w:t>
            </w:r>
            <w:r>
              <w:rPr>
                <w:rFonts w:hint="eastAsia"/>
                <w:szCs w:val="21"/>
                <w:vertAlign w:val="subscript"/>
              </w:rPr>
              <w:t>2</w:t>
            </w:r>
            <w:r>
              <w:rPr>
                <w:rFonts w:hint="eastAsia"/>
                <w:szCs w:val="21"/>
              </w:rPr>
              <w:t>-100</w:t>
            </w:r>
          </w:p>
        </w:tc>
        <w:tc>
          <w:tcPr>
            <w:tcW w:w="102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NU216</w:t>
            </w:r>
          </w:p>
        </w:tc>
        <w:tc>
          <w:tcPr>
            <w:tcW w:w="116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7222</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2cr13</w:t>
            </w:r>
          </w:p>
        </w:tc>
        <w:tc>
          <w:tcPr>
            <w:tcW w:w="1333"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32#机械油</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长城</w:t>
            </w:r>
          </w:p>
        </w:tc>
        <w:tc>
          <w:tcPr>
            <w:tcW w:w="91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346"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3*35+1*16</w:t>
            </w:r>
          </w:p>
        </w:tc>
        <w:tc>
          <w:tcPr>
            <w:tcW w:w="120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7*1.5</w:t>
            </w:r>
          </w:p>
        </w:tc>
        <w:tc>
          <w:tcPr>
            <w:tcW w:w="1207" w:type="dxa"/>
            <w:vMerge w:val="restart"/>
            <w:tcBorders>
              <w:top w:val="nil"/>
              <w:left w:val="single" w:color="auto" w:sz="4" w:space="0"/>
              <w:bottom w:val="single" w:color="000000"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800</w:t>
            </w:r>
          </w:p>
        </w:tc>
        <w:tc>
          <w:tcPr>
            <w:tcW w:w="1769"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4"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r>
      <w:tr>
        <w:tblPrEx>
          <w:tblLayout w:type="fixed"/>
          <w:tblCellMar>
            <w:top w:w="0" w:type="dxa"/>
            <w:left w:w="0" w:type="dxa"/>
            <w:bottom w:w="0" w:type="dxa"/>
            <w:right w:w="0" w:type="dxa"/>
          </w:tblCellMar>
        </w:tblPrEx>
        <w:trPr>
          <w:trHeight w:val="307"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7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2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6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33"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ascii="宋体" w:hAnsi="宋体" w:cs="宋体"/>
                <w:szCs w:val="21"/>
              </w:rPr>
            </w:pPr>
            <w:r>
              <w:rPr>
                <w:rFonts w:hint="eastAsia"/>
                <w:szCs w:val="21"/>
              </w:rPr>
              <w:t>7014-1</w:t>
            </w:r>
          </w:p>
        </w:tc>
        <w:tc>
          <w:tcPr>
            <w:tcW w:w="91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6"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769"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341"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75-90kw</w:t>
            </w:r>
          </w:p>
        </w:tc>
        <w:tc>
          <w:tcPr>
            <w:tcW w:w="127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价格（元）</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1200</w:t>
            </w:r>
          </w:p>
        </w:tc>
        <w:tc>
          <w:tcPr>
            <w:tcW w:w="151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1800</w:t>
            </w:r>
          </w:p>
        </w:tc>
        <w:tc>
          <w:tcPr>
            <w:tcW w:w="102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1000</w:t>
            </w:r>
          </w:p>
        </w:tc>
        <w:tc>
          <w:tcPr>
            <w:tcW w:w="116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3500</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1500</w:t>
            </w:r>
          </w:p>
        </w:tc>
        <w:tc>
          <w:tcPr>
            <w:tcW w:w="133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300</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91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230</w:t>
            </w:r>
          </w:p>
        </w:tc>
        <w:tc>
          <w:tcPr>
            <w:tcW w:w="120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w:t>
            </w:r>
          </w:p>
        </w:tc>
        <w:tc>
          <w:tcPr>
            <w:tcW w:w="1207" w:type="dxa"/>
            <w:vMerge w:val="continue"/>
            <w:tcBorders>
              <w:top w:val="nil"/>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1769"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800</w:t>
            </w:r>
          </w:p>
        </w:tc>
        <w:tc>
          <w:tcPr>
            <w:tcW w:w="145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3500</w:t>
            </w:r>
          </w:p>
        </w:tc>
        <w:tc>
          <w:tcPr>
            <w:tcW w:w="145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1200</w:t>
            </w:r>
          </w:p>
        </w:tc>
      </w:tr>
      <w:tr>
        <w:tblPrEx>
          <w:tblLayout w:type="fixed"/>
          <w:tblCellMar>
            <w:top w:w="0" w:type="dxa"/>
            <w:left w:w="0" w:type="dxa"/>
            <w:bottom w:w="0" w:type="dxa"/>
            <w:right w:w="0" w:type="dxa"/>
          </w:tblCellMar>
        </w:tblPrEx>
        <w:trPr>
          <w:trHeight w:val="341" w:hRule="atLeast"/>
          <w:jc w:val="center"/>
        </w:trPr>
        <w:tc>
          <w:tcPr>
            <w:tcW w:w="68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w:t>
            </w:r>
          </w:p>
        </w:tc>
        <w:tc>
          <w:tcPr>
            <w:tcW w:w="134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排涝泵</w:t>
            </w:r>
          </w:p>
        </w:tc>
        <w:tc>
          <w:tcPr>
            <w:tcW w:w="127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型号</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51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U100</w:t>
            </w:r>
            <w:r>
              <w:rPr>
                <w:rFonts w:hint="eastAsia"/>
                <w:szCs w:val="21"/>
                <w:vertAlign w:val="subscript"/>
              </w:rPr>
              <w:t>2</w:t>
            </w:r>
            <w:r>
              <w:rPr>
                <w:rFonts w:hint="eastAsia"/>
                <w:szCs w:val="21"/>
              </w:rPr>
              <w:t>-100</w:t>
            </w:r>
          </w:p>
        </w:tc>
        <w:tc>
          <w:tcPr>
            <w:tcW w:w="102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NU216</w:t>
            </w:r>
          </w:p>
        </w:tc>
        <w:tc>
          <w:tcPr>
            <w:tcW w:w="116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7222</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2cr13</w:t>
            </w:r>
          </w:p>
        </w:tc>
        <w:tc>
          <w:tcPr>
            <w:tcW w:w="1333"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32#机械油</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长城</w:t>
            </w:r>
          </w:p>
        </w:tc>
        <w:tc>
          <w:tcPr>
            <w:tcW w:w="91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346"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3*50+1*16</w:t>
            </w:r>
          </w:p>
        </w:tc>
        <w:tc>
          <w:tcPr>
            <w:tcW w:w="120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7*1.5</w:t>
            </w:r>
          </w:p>
        </w:tc>
        <w:tc>
          <w:tcPr>
            <w:tcW w:w="1207" w:type="dxa"/>
            <w:vMerge w:val="restart"/>
            <w:tcBorders>
              <w:top w:val="nil"/>
              <w:left w:val="single" w:color="auto" w:sz="4" w:space="0"/>
              <w:bottom w:val="single" w:color="000000"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800</w:t>
            </w:r>
          </w:p>
        </w:tc>
        <w:tc>
          <w:tcPr>
            <w:tcW w:w="1769"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4"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r>
      <w:tr>
        <w:tblPrEx>
          <w:tblLayout w:type="fixed"/>
          <w:tblCellMar>
            <w:top w:w="0" w:type="dxa"/>
            <w:left w:w="0" w:type="dxa"/>
            <w:bottom w:w="0" w:type="dxa"/>
            <w:right w:w="0" w:type="dxa"/>
          </w:tblCellMar>
        </w:tblPrEx>
        <w:trPr>
          <w:trHeight w:val="307"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7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2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6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33"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ascii="宋体" w:hAnsi="宋体" w:cs="宋体"/>
                <w:szCs w:val="21"/>
              </w:rPr>
            </w:pPr>
            <w:r>
              <w:rPr>
                <w:rFonts w:hint="eastAsia"/>
                <w:szCs w:val="21"/>
              </w:rPr>
              <w:t>7014-1</w:t>
            </w:r>
          </w:p>
        </w:tc>
        <w:tc>
          <w:tcPr>
            <w:tcW w:w="91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6"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769"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341"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110kw</w:t>
            </w:r>
          </w:p>
        </w:tc>
        <w:tc>
          <w:tcPr>
            <w:tcW w:w="127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价格（元）</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1200</w:t>
            </w:r>
          </w:p>
        </w:tc>
        <w:tc>
          <w:tcPr>
            <w:tcW w:w="151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1800</w:t>
            </w:r>
          </w:p>
        </w:tc>
        <w:tc>
          <w:tcPr>
            <w:tcW w:w="102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1000</w:t>
            </w:r>
          </w:p>
        </w:tc>
        <w:tc>
          <w:tcPr>
            <w:tcW w:w="116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3500</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1500</w:t>
            </w:r>
          </w:p>
        </w:tc>
        <w:tc>
          <w:tcPr>
            <w:tcW w:w="133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300</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91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280</w:t>
            </w:r>
          </w:p>
        </w:tc>
        <w:tc>
          <w:tcPr>
            <w:tcW w:w="120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w:t>
            </w:r>
          </w:p>
        </w:tc>
        <w:tc>
          <w:tcPr>
            <w:tcW w:w="1207" w:type="dxa"/>
            <w:vMerge w:val="continue"/>
            <w:tcBorders>
              <w:top w:val="nil"/>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1769"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800</w:t>
            </w:r>
          </w:p>
        </w:tc>
        <w:tc>
          <w:tcPr>
            <w:tcW w:w="145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3500</w:t>
            </w:r>
          </w:p>
        </w:tc>
        <w:tc>
          <w:tcPr>
            <w:tcW w:w="145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1200</w:t>
            </w:r>
          </w:p>
        </w:tc>
      </w:tr>
      <w:tr>
        <w:tblPrEx>
          <w:tblLayout w:type="fixed"/>
          <w:tblCellMar>
            <w:top w:w="0" w:type="dxa"/>
            <w:left w:w="0" w:type="dxa"/>
            <w:bottom w:w="0" w:type="dxa"/>
            <w:right w:w="0" w:type="dxa"/>
          </w:tblCellMar>
        </w:tblPrEx>
        <w:trPr>
          <w:trHeight w:val="341" w:hRule="atLeast"/>
          <w:jc w:val="center"/>
        </w:trPr>
        <w:tc>
          <w:tcPr>
            <w:tcW w:w="68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w:t>
            </w:r>
          </w:p>
        </w:tc>
        <w:tc>
          <w:tcPr>
            <w:tcW w:w="134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排涝泵</w:t>
            </w:r>
          </w:p>
        </w:tc>
        <w:tc>
          <w:tcPr>
            <w:tcW w:w="127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型号</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51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U100</w:t>
            </w:r>
            <w:r>
              <w:rPr>
                <w:rFonts w:hint="eastAsia"/>
                <w:szCs w:val="21"/>
                <w:vertAlign w:val="subscript"/>
              </w:rPr>
              <w:t>2</w:t>
            </w:r>
            <w:r>
              <w:rPr>
                <w:rFonts w:hint="eastAsia"/>
                <w:szCs w:val="21"/>
              </w:rPr>
              <w:t>-120</w:t>
            </w:r>
          </w:p>
        </w:tc>
        <w:tc>
          <w:tcPr>
            <w:tcW w:w="102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NU2218</w:t>
            </w:r>
          </w:p>
        </w:tc>
        <w:tc>
          <w:tcPr>
            <w:tcW w:w="1161"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7328</w:t>
            </w:r>
          </w:p>
        </w:tc>
        <w:tc>
          <w:tcPr>
            <w:tcW w:w="115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2cr13</w:t>
            </w:r>
          </w:p>
        </w:tc>
        <w:tc>
          <w:tcPr>
            <w:tcW w:w="1333"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32#机械油</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长城</w:t>
            </w:r>
          </w:p>
        </w:tc>
        <w:tc>
          <w:tcPr>
            <w:tcW w:w="918"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346"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3*70+1*25</w:t>
            </w:r>
          </w:p>
        </w:tc>
        <w:tc>
          <w:tcPr>
            <w:tcW w:w="1207"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7*1.5</w:t>
            </w:r>
          </w:p>
        </w:tc>
        <w:tc>
          <w:tcPr>
            <w:tcW w:w="1207" w:type="dxa"/>
            <w:vMerge w:val="restart"/>
            <w:tcBorders>
              <w:top w:val="nil"/>
              <w:left w:val="single" w:color="auto" w:sz="4" w:space="0"/>
              <w:bottom w:val="single" w:color="000000"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1000</w:t>
            </w:r>
          </w:p>
        </w:tc>
        <w:tc>
          <w:tcPr>
            <w:tcW w:w="1769"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4"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c>
          <w:tcPr>
            <w:tcW w:w="1450" w:type="dxa"/>
            <w:vMerge w:val="restar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w:t>
            </w:r>
          </w:p>
        </w:tc>
      </w:tr>
      <w:tr>
        <w:tblPrEx>
          <w:tblLayout w:type="fixed"/>
          <w:tblCellMar>
            <w:top w:w="0" w:type="dxa"/>
            <w:left w:w="0" w:type="dxa"/>
            <w:bottom w:w="0" w:type="dxa"/>
            <w:right w:w="0" w:type="dxa"/>
          </w:tblCellMar>
        </w:tblPrEx>
        <w:trPr>
          <w:trHeight w:val="307"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7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2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6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15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33"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ascii="宋体" w:hAnsi="宋体" w:cs="宋体"/>
                <w:szCs w:val="21"/>
              </w:rPr>
            </w:pPr>
            <w:r>
              <w:rPr>
                <w:rFonts w:hint="eastAsia"/>
                <w:szCs w:val="21"/>
              </w:rPr>
              <w:t>7014-1</w:t>
            </w:r>
          </w:p>
        </w:tc>
        <w:tc>
          <w:tcPr>
            <w:tcW w:w="91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6"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20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Cs w:val="21"/>
              </w:rPr>
            </w:pPr>
          </w:p>
        </w:tc>
        <w:tc>
          <w:tcPr>
            <w:tcW w:w="1769"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45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341"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155-160kw</w:t>
            </w:r>
          </w:p>
        </w:tc>
        <w:tc>
          <w:tcPr>
            <w:tcW w:w="127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价格（元）</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1500</w:t>
            </w:r>
          </w:p>
        </w:tc>
        <w:tc>
          <w:tcPr>
            <w:tcW w:w="151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2500</w:t>
            </w:r>
          </w:p>
        </w:tc>
        <w:tc>
          <w:tcPr>
            <w:tcW w:w="102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1800</w:t>
            </w:r>
          </w:p>
        </w:tc>
        <w:tc>
          <w:tcPr>
            <w:tcW w:w="116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12000</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2000</w:t>
            </w:r>
          </w:p>
        </w:tc>
        <w:tc>
          <w:tcPr>
            <w:tcW w:w="133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300</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91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350</w:t>
            </w:r>
          </w:p>
        </w:tc>
        <w:tc>
          <w:tcPr>
            <w:tcW w:w="120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w:t>
            </w:r>
          </w:p>
        </w:tc>
        <w:tc>
          <w:tcPr>
            <w:tcW w:w="1207" w:type="dxa"/>
            <w:vMerge w:val="continue"/>
            <w:tcBorders>
              <w:top w:val="nil"/>
              <w:left w:val="single" w:color="auto" w:sz="4" w:space="0"/>
              <w:bottom w:val="single" w:color="auto"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1769"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1000</w:t>
            </w:r>
          </w:p>
        </w:tc>
        <w:tc>
          <w:tcPr>
            <w:tcW w:w="145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4000</w:t>
            </w:r>
          </w:p>
        </w:tc>
        <w:tc>
          <w:tcPr>
            <w:tcW w:w="145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1500</w:t>
            </w:r>
          </w:p>
        </w:tc>
      </w:tr>
      <w:tr>
        <w:tblPrEx>
          <w:tblLayout w:type="fixed"/>
          <w:tblCellMar>
            <w:top w:w="0" w:type="dxa"/>
            <w:left w:w="0" w:type="dxa"/>
            <w:bottom w:w="0" w:type="dxa"/>
            <w:right w:w="0" w:type="dxa"/>
          </w:tblCellMar>
        </w:tblPrEx>
        <w:trPr>
          <w:trHeight w:val="341"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34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75-90kw</w:t>
            </w:r>
          </w:p>
        </w:tc>
        <w:tc>
          <w:tcPr>
            <w:tcW w:w="127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价格（元）</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1200</w:t>
            </w:r>
          </w:p>
        </w:tc>
        <w:tc>
          <w:tcPr>
            <w:tcW w:w="151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1300</w:t>
            </w:r>
          </w:p>
        </w:tc>
        <w:tc>
          <w:tcPr>
            <w:tcW w:w="102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2000</w:t>
            </w:r>
          </w:p>
        </w:tc>
        <w:tc>
          <w:tcPr>
            <w:tcW w:w="1161"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3200</w:t>
            </w:r>
          </w:p>
        </w:tc>
        <w:tc>
          <w:tcPr>
            <w:tcW w:w="115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1500</w:t>
            </w:r>
          </w:p>
        </w:tc>
        <w:tc>
          <w:tcPr>
            <w:tcW w:w="1333"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300</w:t>
            </w:r>
          </w:p>
        </w:tc>
        <w:tc>
          <w:tcPr>
            <w:tcW w:w="95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91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200</w:t>
            </w:r>
          </w:p>
        </w:tc>
        <w:tc>
          <w:tcPr>
            <w:tcW w:w="134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280</w:t>
            </w:r>
          </w:p>
        </w:tc>
        <w:tc>
          <w:tcPr>
            <w:tcW w:w="1207"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w:t>
            </w:r>
          </w:p>
        </w:tc>
        <w:tc>
          <w:tcPr>
            <w:tcW w:w="1207" w:type="dxa"/>
            <w:vMerge w:val="continue"/>
            <w:tcBorders>
              <w:top w:val="nil"/>
              <w:left w:val="single" w:color="auto" w:sz="4" w:space="0"/>
              <w:bottom w:val="single" w:color="000000" w:sz="4" w:space="0"/>
              <w:right w:val="single" w:color="auto" w:sz="4" w:space="0"/>
            </w:tcBorders>
            <w:tcMar>
              <w:top w:w="12" w:type="dxa"/>
              <w:left w:w="12" w:type="dxa"/>
              <w:bottom w:w="0" w:type="dxa"/>
              <w:right w:w="12" w:type="dxa"/>
            </w:tcMar>
            <w:vAlign w:val="center"/>
          </w:tcPr>
          <w:p>
            <w:pPr>
              <w:rPr>
                <w:rFonts w:ascii="宋体" w:hAnsi="宋体" w:cs="宋体"/>
                <w:szCs w:val="21"/>
              </w:rPr>
            </w:pPr>
          </w:p>
        </w:tc>
        <w:tc>
          <w:tcPr>
            <w:tcW w:w="1769"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800</w:t>
            </w:r>
          </w:p>
        </w:tc>
        <w:tc>
          <w:tcPr>
            <w:tcW w:w="145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3500</w:t>
            </w:r>
          </w:p>
        </w:tc>
        <w:tc>
          <w:tcPr>
            <w:tcW w:w="145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1200</w:t>
            </w:r>
          </w:p>
        </w:tc>
      </w:tr>
      <w:tr>
        <w:tblPrEx>
          <w:tblLayout w:type="fixed"/>
          <w:tblCellMar>
            <w:top w:w="0" w:type="dxa"/>
            <w:left w:w="0" w:type="dxa"/>
            <w:bottom w:w="0" w:type="dxa"/>
            <w:right w:w="0" w:type="dxa"/>
          </w:tblCellMar>
        </w:tblPrEx>
        <w:trPr>
          <w:trHeight w:val="383"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9</w:t>
            </w:r>
          </w:p>
        </w:tc>
        <w:tc>
          <w:tcPr>
            <w:tcW w:w="13183" w:type="dxa"/>
            <w:gridSpan w:val="11"/>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 w:val="24"/>
              </w:rPr>
            </w:pPr>
            <w:r>
              <w:rPr>
                <w:rFonts w:hint="eastAsia"/>
                <w:sz w:val="24"/>
              </w:rPr>
              <w:t>潜水排污泵电机定子线圈重新绕组</w:t>
            </w:r>
          </w:p>
        </w:tc>
        <w:tc>
          <w:tcPr>
            <w:tcW w:w="5637" w:type="dxa"/>
            <w:gridSpan w:val="4"/>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szCs w:val="21"/>
              </w:rPr>
            </w:pPr>
            <w:r>
              <w:rPr>
                <w:rFonts w:hint="eastAsia"/>
                <w:szCs w:val="21"/>
              </w:rPr>
              <w:t>单价（元</w:t>
            </w:r>
            <w:r>
              <w:rPr>
                <w:rFonts w:hint="eastAsia"/>
                <w:b/>
                <w:szCs w:val="21"/>
              </w:rPr>
              <w:t xml:space="preserve">/ </w:t>
            </w:r>
            <w:r>
              <w:rPr>
                <w:rFonts w:hint="eastAsia"/>
                <w:szCs w:val="21"/>
              </w:rPr>
              <w:t>KW）</w:t>
            </w:r>
          </w:p>
        </w:tc>
        <w:tc>
          <w:tcPr>
            <w:tcW w:w="1450"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jc w:val="center"/>
              <w:rPr>
                <w:rFonts w:ascii="宋体" w:hAnsi="宋体" w:cs="宋体"/>
                <w:b/>
                <w:bCs/>
                <w:szCs w:val="21"/>
              </w:rPr>
            </w:pPr>
            <w:r>
              <w:rPr>
                <w:rFonts w:hint="eastAsia"/>
                <w:b/>
                <w:bCs/>
                <w:szCs w:val="21"/>
              </w:rPr>
              <w:t>105</w:t>
            </w:r>
          </w:p>
        </w:tc>
      </w:tr>
    </w:tbl>
    <w:p>
      <w:pPr>
        <w:pStyle w:val="5"/>
        <w:overflowPunct w:val="0"/>
        <w:spacing w:line="360" w:lineRule="auto"/>
        <w:ind w:firstLine="482"/>
        <w:rPr>
          <w:rFonts w:ascii="宋体" w:hAnsi="宋体" w:cs="宋体"/>
          <w:b/>
        </w:rPr>
      </w:pPr>
      <w:r>
        <w:rPr>
          <w:rFonts w:hint="eastAsia" w:ascii="宋体" w:hAnsi="宋体" w:cs="宋体"/>
          <w:b/>
        </w:rPr>
        <w:t xml:space="preserve"> *上述清单中的价格为基准定价，投标人报价方式为整体总价的优惠比例（百分比）及最终优惠总价，不再进行分项报价。</w:t>
      </w:r>
    </w:p>
    <w:p>
      <w:pPr>
        <w:pStyle w:val="5"/>
        <w:overflowPunct w:val="0"/>
        <w:spacing w:line="360" w:lineRule="auto"/>
        <w:ind w:firstLine="482"/>
        <w:rPr>
          <w:rFonts w:ascii="宋体" w:hAnsi="宋体" w:cs="宋体"/>
          <w:b/>
        </w:rPr>
      </w:pPr>
      <w:r>
        <w:rPr>
          <w:rFonts w:hint="eastAsia" w:ascii="宋体" w:hAnsi="宋体" w:cs="宋体"/>
          <w:b/>
        </w:rPr>
        <w:t>*本次招标的拦标限价为人民币</w:t>
      </w:r>
      <w:r>
        <w:rPr>
          <w:rFonts w:hint="eastAsia" w:ascii="宋体" w:hAnsi="宋体" w:cs="宋体"/>
          <w:b/>
          <w:color w:val="FF0000"/>
        </w:rPr>
        <w:t>壹拾万圆整</w:t>
      </w:r>
      <w:r>
        <w:rPr>
          <w:rFonts w:hint="eastAsia" w:ascii="宋体" w:hAnsi="宋体" w:cs="宋体"/>
          <w:b/>
        </w:rPr>
        <w:t>，超过拦标价的报价予以废标处理。</w:t>
      </w:r>
    </w:p>
    <w:p>
      <w:pPr>
        <w:pStyle w:val="5"/>
        <w:overflowPunct w:val="0"/>
        <w:spacing w:line="360" w:lineRule="auto"/>
        <w:ind w:firstLine="482"/>
        <w:rPr>
          <w:rFonts w:ascii="宋体" w:hAnsi="宋体" w:cs="宋体"/>
          <w:b/>
        </w:rPr>
      </w:pPr>
      <w:r>
        <w:rPr>
          <w:rFonts w:hint="eastAsia" w:ascii="宋体" w:hAnsi="宋体" w:cs="宋体"/>
          <w:b/>
        </w:rPr>
        <w:t>*投标人的报价应为含税价格，付款前开具相应金额的税率为17%的增值税发票。</w:t>
      </w:r>
    </w:p>
    <w:p>
      <w:pPr>
        <w:pStyle w:val="5"/>
        <w:overflowPunct w:val="0"/>
        <w:spacing w:line="360" w:lineRule="auto"/>
        <w:ind w:firstLine="482"/>
        <w:jc w:val="center"/>
        <w:rPr>
          <w:rFonts w:ascii="宋体" w:hAnsi="宋体" w:cs="宋体"/>
          <w:b/>
        </w:rPr>
        <w:sectPr>
          <w:pgSz w:w="23814" w:h="16840" w:orient="landscape"/>
          <w:pgMar w:top="1797" w:right="1440" w:bottom="1797" w:left="1440" w:header="851" w:footer="992" w:gutter="0"/>
          <w:cols w:space="720" w:num="1"/>
          <w:docGrid w:linePitch="312" w:charSpace="0"/>
        </w:sectPr>
      </w:pPr>
    </w:p>
    <w:p>
      <w:pPr>
        <w:pStyle w:val="5"/>
        <w:overflowPunct w:val="0"/>
        <w:ind w:firstLine="482"/>
        <w:jc w:val="left"/>
        <w:rPr>
          <w:rFonts w:ascii="宋体" w:hAnsi="宋体" w:cs="宋体"/>
          <w:b/>
        </w:rPr>
      </w:pPr>
      <w:r>
        <w:rPr>
          <w:rFonts w:hint="eastAsia" w:ascii="宋体" w:hAnsi="宋体" w:cs="宋体"/>
          <w:b/>
        </w:rPr>
        <w:t>7、关于非清单维修内容的规定</w:t>
      </w:r>
    </w:p>
    <w:p>
      <w:pPr>
        <w:pStyle w:val="5"/>
        <w:overflowPunct w:val="0"/>
        <w:ind w:firstLine="480"/>
        <w:jc w:val="left"/>
        <w:rPr>
          <w:rFonts w:ascii="宋体" w:hAnsi="宋体" w:cs="宋体"/>
          <w:b/>
        </w:rPr>
      </w:pPr>
      <w:r>
        <w:rPr>
          <w:rFonts w:hint="eastAsia" w:ascii="宋体" w:hAnsi="宋体"/>
        </w:rPr>
        <w:t>招标清单中未列出而实际必须发生的配件及维修服务价格，由双方协商确定，原则上未列出的配件及服务价格按上下级别型号的中间价计算。例如清单中存在7317和7319轴承的价格，如出现需用7318轴承，则价格参照上述两者之和的平均。</w:t>
      </w:r>
    </w:p>
    <w:p>
      <w:pPr>
        <w:pStyle w:val="5"/>
        <w:overflowPunct w:val="0"/>
        <w:ind w:firstLine="480"/>
        <w:jc w:val="left"/>
        <w:rPr>
          <w:rFonts w:ascii="宋体" w:hAnsi="宋体" w:cs="宋体"/>
        </w:rPr>
      </w:pPr>
      <w:r>
        <w:rPr>
          <w:rFonts w:hint="eastAsia" w:ascii="宋体" w:hAnsi="宋体" w:cs="宋体"/>
        </w:rPr>
        <w:t>进行电机线圈重绕工作时，拆除的旧漆包线经破坏性处理后折抵给维修方。对于偶尔发生的干式电机维修，维修价格按潜水排污泵电机线圈重新绕组中标价格的85%给付。</w:t>
      </w:r>
    </w:p>
    <w:p>
      <w:pPr>
        <w:ind w:firstLine="482" w:firstLineChars="200"/>
        <w:rPr>
          <w:rFonts w:ascii="宋体" w:hAnsi="宋体"/>
          <w:b/>
          <w:sz w:val="24"/>
        </w:rPr>
      </w:pPr>
      <w:r>
        <w:rPr>
          <w:rFonts w:hint="eastAsia" w:ascii="宋体" w:hAnsi="宋体"/>
          <w:b/>
          <w:sz w:val="24"/>
        </w:rPr>
        <w:t>8、</w:t>
      </w:r>
      <w:r>
        <w:rPr>
          <w:rFonts w:hint="eastAsia" w:ascii="宋体" w:hAnsi="宋体"/>
          <w:b/>
          <w:iCs/>
          <w:sz w:val="24"/>
        </w:rPr>
        <w:t>违约中止或终止合同</w:t>
      </w:r>
    </w:p>
    <w:p>
      <w:pPr>
        <w:ind w:firstLine="480" w:firstLineChars="200"/>
        <w:rPr>
          <w:rFonts w:ascii="宋体" w:hAnsi="宋体"/>
          <w:sz w:val="24"/>
        </w:rPr>
      </w:pPr>
      <w:r>
        <w:rPr>
          <w:rFonts w:hint="eastAsia" w:ascii="宋体" w:hAnsi="宋体"/>
          <w:sz w:val="24"/>
        </w:rPr>
        <w:t>8.1在合同执行过程中，甲方将不定期对乙方执行合同的情况进行检查，如有下列情况出现，在甲方对乙方违约而采取的任何补救措施不受影响的情况下，甲方可根据情节的严重性，有权向乙方发出中止或终止合同的书面通知书并按8.2条进行处理：</w:t>
      </w:r>
    </w:p>
    <w:p>
      <w:pPr>
        <w:ind w:firstLine="480" w:firstLineChars="200"/>
        <w:rPr>
          <w:rFonts w:ascii="宋体" w:hAnsi="宋体"/>
          <w:sz w:val="24"/>
        </w:rPr>
      </w:pPr>
      <w:r>
        <w:rPr>
          <w:rFonts w:hint="eastAsia" w:ascii="宋体" w:hAnsi="宋体"/>
          <w:sz w:val="24"/>
        </w:rPr>
        <w:t>（1）乙方未在中标后一个月内完成在</w:t>
      </w:r>
      <w:r>
        <w:rPr>
          <w:rFonts w:hint="eastAsia" w:ascii="宋体" w:hAnsi="宋体"/>
          <w:color w:val="000000"/>
          <w:sz w:val="24"/>
        </w:rPr>
        <w:t>常州范围内（不含武进区、金坛区、溧阳市）设有维修场地、维修人员、配件仓库、维修设备等</w:t>
      </w:r>
      <w:r>
        <w:rPr>
          <w:rFonts w:hint="eastAsia" w:ascii="宋体" w:hAnsi="宋体"/>
          <w:sz w:val="24"/>
        </w:rPr>
        <w:t>；</w:t>
      </w:r>
    </w:p>
    <w:p>
      <w:pPr>
        <w:ind w:firstLine="480" w:firstLineChars="200"/>
        <w:rPr>
          <w:rFonts w:ascii="宋体" w:hAnsi="宋体"/>
          <w:sz w:val="24"/>
        </w:rPr>
      </w:pPr>
      <w:r>
        <w:rPr>
          <w:rFonts w:hint="eastAsia" w:ascii="宋体" w:hAnsi="宋体"/>
          <w:sz w:val="24"/>
        </w:rPr>
        <w:t>（2）乙方未按投标承诺时间完成维修任务并导致甲方发生运行事故；</w:t>
      </w:r>
    </w:p>
    <w:p>
      <w:pPr>
        <w:ind w:firstLine="480" w:firstLineChars="200"/>
        <w:rPr>
          <w:rFonts w:ascii="宋体" w:hAnsi="宋体"/>
          <w:sz w:val="24"/>
        </w:rPr>
      </w:pPr>
      <w:r>
        <w:rPr>
          <w:rFonts w:hint="eastAsia" w:ascii="宋体" w:hAnsi="宋体"/>
          <w:sz w:val="24"/>
        </w:rPr>
        <w:t>（4）乙方两次在服务质量考核中被判为不合格；</w:t>
      </w:r>
    </w:p>
    <w:p>
      <w:pPr>
        <w:ind w:firstLine="480" w:firstLineChars="200"/>
        <w:rPr>
          <w:rFonts w:ascii="宋体" w:hAnsi="宋体"/>
          <w:sz w:val="24"/>
        </w:rPr>
      </w:pPr>
      <w:r>
        <w:rPr>
          <w:rFonts w:hint="eastAsia" w:ascii="宋体" w:hAnsi="宋体"/>
          <w:sz w:val="24"/>
        </w:rPr>
        <w:t>（5）乙方投标文件有其他严重不实的承诺以及其他弄虚作假情况的；</w:t>
      </w:r>
    </w:p>
    <w:p>
      <w:pPr>
        <w:ind w:firstLine="480" w:firstLineChars="200"/>
        <w:rPr>
          <w:rFonts w:ascii="宋体" w:hAnsi="宋体"/>
          <w:sz w:val="24"/>
        </w:rPr>
      </w:pPr>
      <w:r>
        <w:rPr>
          <w:rFonts w:hint="eastAsia" w:ascii="宋体" w:hAnsi="宋体"/>
          <w:sz w:val="24"/>
        </w:rPr>
        <w:t>（6）乙方与采购人签订合同后，不遵守或未完全遵守合同招标要求、投标承诺，经甲方要求整改两次后仍未能及时解决；</w:t>
      </w:r>
    </w:p>
    <w:p>
      <w:pPr>
        <w:ind w:firstLine="480" w:firstLineChars="200"/>
        <w:rPr>
          <w:rFonts w:ascii="宋体" w:hAnsi="宋体"/>
          <w:sz w:val="24"/>
        </w:rPr>
      </w:pPr>
      <w:r>
        <w:rPr>
          <w:rFonts w:hint="eastAsia" w:ascii="宋体" w:hAnsi="宋体"/>
          <w:sz w:val="24"/>
        </w:rPr>
        <w:t>（7）乙方擅自或变相提高中标价格的；</w:t>
      </w:r>
    </w:p>
    <w:p>
      <w:pPr>
        <w:ind w:firstLine="480" w:firstLineChars="200"/>
        <w:rPr>
          <w:rFonts w:ascii="宋体" w:hAnsi="宋体"/>
          <w:sz w:val="24"/>
        </w:rPr>
      </w:pPr>
      <w:r>
        <w:rPr>
          <w:rFonts w:hint="eastAsia" w:ascii="宋体" w:hAnsi="宋体"/>
          <w:sz w:val="24"/>
        </w:rPr>
        <w:t>（8）乙方未履行投标时服务承诺的；</w:t>
      </w:r>
    </w:p>
    <w:p>
      <w:pPr>
        <w:pStyle w:val="5"/>
        <w:overflowPunct w:val="0"/>
        <w:ind w:firstLine="480"/>
        <w:rPr>
          <w:rFonts w:ascii="宋体" w:hAnsi="宋体" w:cs="宋体"/>
          <w:szCs w:val="24"/>
        </w:rPr>
      </w:pPr>
      <w:r>
        <w:rPr>
          <w:rFonts w:hint="eastAsia" w:ascii="宋体" w:hAnsi="宋体"/>
        </w:rPr>
        <w:t>（9）其他违反本合同的情况。</w:t>
      </w:r>
    </w:p>
    <w:p>
      <w:pPr>
        <w:ind w:firstLine="480" w:firstLineChars="200"/>
        <w:rPr>
          <w:rFonts w:ascii="宋体" w:hAnsi="宋体"/>
          <w:sz w:val="24"/>
        </w:rPr>
      </w:pPr>
      <w:r>
        <w:rPr>
          <w:rFonts w:hint="eastAsia" w:ascii="宋体" w:hAnsi="宋体" w:cs="宋体"/>
          <w:sz w:val="24"/>
        </w:rPr>
        <w:t>8.2</w:t>
      </w:r>
      <w:r>
        <w:rPr>
          <w:rFonts w:hint="eastAsia" w:ascii="宋体" w:hAnsi="宋体"/>
          <w:bCs/>
          <w:sz w:val="24"/>
        </w:rPr>
        <w:t>采购部门或甲方将</w:t>
      </w:r>
      <w:r>
        <w:rPr>
          <w:rFonts w:hint="eastAsia" w:ascii="宋体" w:hAnsi="宋体"/>
          <w:sz w:val="24"/>
        </w:rPr>
        <w:t>对乙方的合同执行情况进行检查，一旦发现违反本招标要求、投标承诺和合同条款的情形，将采取以下一种或几种方式同时并处的形式追究乙方违约责任：</w:t>
      </w:r>
    </w:p>
    <w:p>
      <w:pPr>
        <w:ind w:firstLine="480" w:firstLineChars="200"/>
        <w:rPr>
          <w:rFonts w:ascii="宋体" w:hAnsi="宋体"/>
          <w:sz w:val="24"/>
        </w:rPr>
      </w:pPr>
      <w:r>
        <w:rPr>
          <w:rFonts w:hint="eastAsia" w:ascii="宋体" w:hAnsi="宋体"/>
          <w:sz w:val="24"/>
        </w:rPr>
        <w:t>（1）暂停或取消乙方的中标资格、中止或终止与乙方签订的合同；</w:t>
      </w:r>
    </w:p>
    <w:p>
      <w:pPr>
        <w:ind w:firstLine="480" w:firstLineChars="200"/>
        <w:rPr>
          <w:rFonts w:ascii="宋体" w:hAnsi="宋体"/>
          <w:sz w:val="24"/>
        </w:rPr>
      </w:pPr>
      <w:r>
        <w:rPr>
          <w:rFonts w:hint="eastAsia" w:ascii="宋体" w:hAnsi="宋体"/>
          <w:sz w:val="24"/>
        </w:rPr>
        <w:t>（2）要求乙方支付不高于履约保证金数额的违约金；</w:t>
      </w:r>
    </w:p>
    <w:p>
      <w:pPr>
        <w:ind w:firstLine="480" w:firstLineChars="200"/>
        <w:rPr>
          <w:rFonts w:ascii="宋体" w:hAnsi="宋体"/>
          <w:sz w:val="24"/>
        </w:rPr>
      </w:pPr>
      <w:r>
        <w:rPr>
          <w:rFonts w:hint="eastAsia" w:ascii="宋体" w:hAnsi="宋体"/>
          <w:sz w:val="24"/>
        </w:rPr>
        <w:t>（3）三年内不得参与甲方任何有关政府采购、服务的招标项目；</w:t>
      </w:r>
    </w:p>
    <w:p>
      <w:r>
        <w:rPr>
          <w:rFonts w:hint="eastAsia" w:ascii="宋体" w:hAnsi="宋体"/>
          <w:sz w:val="24"/>
        </w:rPr>
        <w:t>（4）在下一期定点服务招标、评标中给予适当扣分</w:t>
      </w:r>
    </w:p>
    <w:p>
      <w:pPr>
        <w:pStyle w:val="2"/>
        <w:numPr>
          <w:ilvl w:val="0"/>
          <w:numId w:val="0"/>
        </w:numPr>
        <w:snapToGrid w:val="0"/>
        <w:spacing w:line="360" w:lineRule="auto"/>
        <w:ind w:left="851"/>
        <w:rPr>
          <w:rFonts w:ascii="宋体" w:hAnsi="宋体" w:eastAsia="宋体"/>
          <w:sz w:val="40"/>
        </w:rPr>
      </w:pPr>
      <w:bookmarkStart w:id="95" w:name="_Hlt518618306"/>
      <w:bookmarkEnd w:id="95"/>
      <w:bookmarkStart w:id="96" w:name="_Toc430158358"/>
      <w:r>
        <w:rPr>
          <w:rFonts w:hint="eastAsia" w:ascii="宋体" w:hAnsi="宋体" w:eastAsia="宋体"/>
          <w:sz w:val="40"/>
        </w:rPr>
        <w:t>第七章 格式附表</w:t>
      </w:r>
      <w:bookmarkEnd w:id="76"/>
      <w:bookmarkEnd w:id="77"/>
      <w:bookmarkEnd w:id="78"/>
      <w:bookmarkEnd w:id="96"/>
    </w:p>
    <w:p>
      <w:pPr>
        <w:spacing w:line="360" w:lineRule="auto"/>
        <w:rPr>
          <w:rFonts w:ascii="宋体" w:hAnsi="宋体"/>
          <w:b/>
          <w:sz w:val="24"/>
        </w:rPr>
      </w:pPr>
      <w:bookmarkStart w:id="97" w:name="_Toc288738393"/>
      <w:bookmarkStart w:id="98" w:name="_Toc288738835"/>
      <w:r>
        <w:rPr>
          <w:rFonts w:hint="eastAsia" w:ascii="宋体" w:hAnsi="宋体"/>
          <w:b/>
          <w:sz w:val="24"/>
        </w:rPr>
        <w:t>附件一：</w:t>
      </w:r>
    </w:p>
    <w:p>
      <w:pPr>
        <w:spacing w:line="360" w:lineRule="auto"/>
        <w:jc w:val="center"/>
        <w:rPr>
          <w:rFonts w:ascii="宋体" w:hAnsi="宋体"/>
          <w:b/>
          <w:sz w:val="32"/>
          <w:szCs w:val="32"/>
        </w:rPr>
      </w:pPr>
      <w:r>
        <w:rPr>
          <w:rFonts w:hint="eastAsia" w:ascii="宋体" w:hAnsi="宋体"/>
          <w:b/>
          <w:sz w:val="32"/>
          <w:szCs w:val="32"/>
        </w:rPr>
        <w:t>响</w:t>
      </w:r>
      <w:r>
        <w:rPr>
          <w:rFonts w:ascii="宋体" w:hAnsi="宋体"/>
          <w:b/>
          <w:sz w:val="32"/>
          <w:szCs w:val="32"/>
        </w:rPr>
        <w:t xml:space="preserve">    </w:t>
      </w:r>
      <w:r>
        <w:rPr>
          <w:rFonts w:hint="eastAsia" w:ascii="宋体" w:hAnsi="宋体"/>
          <w:b/>
          <w:sz w:val="32"/>
          <w:szCs w:val="32"/>
        </w:rPr>
        <w:t>应</w:t>
      </w:r>
      <w:r>
        <w:rPr>
          <w:rFonts w:ascii="宋体" w:hAnsi="宋体"/>
          <w:b/>
          <w:sz w:val="32"/>
          <w:szCs w:val="32"/>
        </w:rPr>
        <w:t xml:space="preserve">    </w:t>
      </w:r>
      <w:r>
        <w:rPr>
          <w:rFonts w:hint="eastAsia" w:ascii="宋体" w:hAnsi="宋体"/>
          <w:b/>
          <w:sz w:val="32"/>
          <w:szCs w:val="32"/>
        </w:rPr>
        <w:t>函</w:t>
      </w:r>
    </w:p>
    <w:p>
      <w:pPr>
        <w:rPr>
          <w:rFonts w:ascii="宋体" w:hAnsi="宋体"/>
          <w:sz w:val="24"/>
        </w:rPr>
      </w:pPr>
      <w:r>
        <w:rPr>
          <w:rFonts w:hint="eastAsia" w:ascii="宋体" w:hAnsi="宋体"/>
          <w:sz w:val="24"/>
        </w:rPr>
        <w:t>致：常州市连城管道网络有限公司</w:t>
      </w:r>
    </w:p>
    <w:p>
      <w:pPr>
        <w:pStyle w:val="30"/>
        <w:spacing w:line="400" w:lineRule="exact"/>
        <w:ind w:firstLine="480" w:firstLineChars="200"/>
        <w:rPr>
          <w:rFonts w:hAnsi="宋体"/>
          <w:sz w:val="24"/>
        </w:rPr>
      </w:pPr>
      <w:r>
        <w:rPr>
          <w:rFonts w:hint="eastAsia" w:hAnsi="宋体"/>
          <w:sz w:val="24"/>
        </w:rPr>
        <w:t>我单位收到贵单位“ZRCG-20180604”谈判文件后，经详细研究，我们决定参加该项目采购活动。为此，我方郑重声明以下诸点，并负法律责任。</w:t>
      </w:r>
    </w:p>
    <w:p>
      <w:pPr>
        <w:pStyle w:val="30"/>
        <w:spacing w:line="400" w:lineRule="exact"/>
        <w:ind w:firstLine="480" w:firstLineChars="200"/>
        <w:rPr>
          <w:rFonts w:hAnsi="宋体"/>
          <w:sz w:val="24"/>
        </w:rPr>
      </w:pPr>
      <w:r>
        <w:rPr>
          <w:rFonts w:hint="eastAsia" w:hAnsi="宋体"/>
          <w:sz w:val="24"/>
        </w:rPr>
        <w:t>1、按谈判文件规定的各项要求，向采购人提供所需货物与服务。谈判报价包括但不限于谈判文件及其准备（包括现场踏勘、技术核对等）、设备（包括备品备件、专用工具）、技术资料、设计、制造、检验、包装、技术资料、发货、运输、装卸至现场指定地点、安装调试、技术指导培训、质保期及维保服务和谈判文件所要求的相关服务等全部内容。</w:t>
      </w:r>
    </w:p>
    <w:p>
      <w:pPr>
        <w:pStyle w:val="30"/>
        <w:spacing w:line="400" w:lineRule="exact"/>
        <w:ind w:firstLine="480" w:firstLineChars="200"/>
        <w:rPr>
          <w:rFonts w:hAnsi="宋体"/>
          <w:sz w:val="24"/>
        </w:rPr>
      </w:pPr>
      <w:r>
        <w:rPr>
          <w:rFonts w:hint="eastAsia" w:hAnsi="宋体"/>
          <w:sz w:val="24"/>
        </w:rPr>
        <w:t>2、我方承诺质保期为     年。</w:t>
      </w:r>
    </w:p>
    <w:p>
      <w:pPr>
        <w:pStyle w:val="30"/>
        <w:spacing w:line="400" w:lineRule="exact"/>
        <w:ind w:firstLine="480" w:firstLineChars="200"/>
        <w:rPr>
          <w:rFonts w:hAnsi="宋体"/>
          <w:sz w:val="24"/>
        </w:rPr>
      </w:pPr>
      <w:r>
        <w:rPr>
          <w:rFonts w:hint="eastAsia" w:hAnsi="宋体"/>
          <w:sz w:val="24"/>
        </w:rPr>
        <w:t>3、如果我方中标，我方愿意在签订合同时支付履约保证金，承诺</w:t>
      </w:r>
      <w:r>
        <w:rPr>
          <w:rFonts w:hint="eastAsia" w:hAnsi="宋体"/>
          <w:sz w:val="24"/>
          <w:szCs w:val="24"/>
        </w:rPr>
        <w:t>提供集中采购机构在谈判文件中要求的所有资料</w:t>
      </w:r>
      <w:r>
        <w:rPr>
          <w:rFonts w:hint="eastAsia" w:hAnsi="宋体"/>
          <w:sz w:val="24"/>
        </w:rPr>
        <w:t>，全面履行谈判文件规定的每一项要求，按期、按质、按量完成任务。</w:t>
      </w:r>
    </w:p>
    <w:p>
      <w:pPr>
        <w:pStyle w:val="30"/>
        <w:spacing w:line="400" w:lineRule="exact"/>
        <w:ind w:firstLine="480" w:firstLineChars="200"/>
        <w:rPr>
          <w:rFonts w:hAnsi="宋体"/>
          <w:sz w:val="24"/>
        </w:rPr>
      </w:pPr>
      <w:r>
        <w:rPr>
          <w:rFonts w:hint="eastAsia" w:hAnsi="宋体"/>
          <w:sz w:val="24"/>
        </w:rPr>
        <w:t>4、我方</w:t>
      </w:r>
      <w:r>
        <w:rPr>
          <w:rFonts w:hint="eastAsia" w:hAnsi="宋体"/>
          <w:sz w:val="24"/>
          <w:szCs w:val="24"/>
        </w:rPr>
        <w:t>承诺该响应文件在</w:t>
      </w:r>
      <w:r>
        <w:rPr>
          <w:rFonts w:hint="eastAsia" w:hAnsi="宋体"/>
          <w:sz w:val="24"/>
        </w:rPr>
        <w:t>该项目</w:t>
      </w:r>
      <w:r>
        <w:rPr>
          <w:rFonts w:hint="eastAsia" w:hAnsi="宋体"/>
          <w:sz w:val="24"/>
          <w:szCs w:val="24"/>
        </w:rPr>
        <w:t>的全过程中保持有效，不作任何更改和变动。</w:t>
      </w:r>
    </w:p>
    <w:p>
      <w:pPr>
        <w:pStyle w:val="30"/>
        <w:spacing w:line="400" w:lineRule="exact"/>
        <w:ind w:firstLine="480" w:firstLineChars="200"/>
        <w:rPr>
          <w:rFonts w:hAnsi="宋体"/>
          <w:sz w:val="24"/>
        </w:rPr>
      </w:pPr>
      <w:r>
        <w:rPr>
          <w:rFonts w:hint="eastAsia" w:hAnsi="宋体"/>
          <w:sz w:val="24"/>
        </w:rPr>
        <w:t>5、我们愿按《中华人民共和国合同法》履行自己的全部责任。</w:t>
      </w:r>
    </w:p>
    <w:p>
      <w:pPr>
        <w:pStyle w:val="30"/>
        <w:spacing w:line="400" w:lineRule="exact"/>
        <w:ind w:firstLine="480" w:firstLineChars="200"/>
        <w:rPr>
          <w:rFonts w:hAnsi="宋体"/>
          <w:sz w:val="24"/>
        </w:rPr>
      </w:pPr>
      <w:r>
        <w:rPr>
          <w:rFonts w:hint="eastAsia" w:hAnsi="宋体"/>
          <w:sz w:val="24"/>
        </w:rPr>
        <w:t>6、我方同意按谈判文件规定交纳谈判保证金，遵守贵机构有关采购活动的各项规定。</w:t>
      </w:r>
    </w:p>
    <w:p>
      <w:pPr>
        <w:pStyle w:val="30"/>
        <w:spacing w:line="400" w:lineRule="exact"/>
        <w:ind w:firstLine="480" w:firstLineChars="200"/>
        <w:rPr>
          <w:rFonts w:hAnsi="宋体"/>
          <w:sz w:val="24"/>
        </w:rPr>
      </w:pPr>
      <w:r>
        <w:rPr>
          <w:rFonts w:hint="eastAsia" w:hAnsi="宋体"/>
          <w:sz w:val="24"/>
        </w:rPr>
        <w:t>7、愿意提供谈判文件中要求所有资料，并保证完全真实准确，若有虚假和违背，我公司愿意承担由此而产生的一切后果。</w:t>
      </w:r>
    </w:p>
    <w:p>
      <w:pPr>
        <w:ind w:firstLine="480" w:firstLineChars="200"/>
        <w:rPr>
          <w:rFonts w:ascii="宋体" w:hAnsi="宋体"/>
          <w:sz w:val="24"/>
        </w:rPr>
      </w:pPr>
      <w:r>
        <w:rPr>
          <w:rFonts w:hint="eastAsia" w:ascii="宋体" w:hAnsi="宋体"/>
          <w:sz w:val="24"/>
        </w:rPr>
        <w:t>8、与本次采购活动有关的正式通讯地址为：</w:t>
      </w:r>
    </w:p>
    <w:p>
      <w:pPr>
        <w:rPr>
          <w:rFonts w:ascii="宋体" w:hAnsi="宋体"/>
          <w:sz w:val="24"/>
        </w:rPr>
      </w:pPr>
    </w:p>
    <w:p>
      <w:pPr>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p>
    <w:p>
      <w:pPr>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p>
    <w:p>
      <w:pPr>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p>
    <w:p>
      <w:pPr>
        <w:rPr>
          <w:rFonts w:ascii="宋体" w:hAnsi="宋体"/>
          <w:sz w:val="24"/>
        </w:rPr>
      </w:pPr>
      <w:r>
        <w:rPr>
          <w:rFonts w:hint="eastAsia" w:ascii="宋体" w:hAnsi="宋体"/>
          <w:sz w:val="24"/>
        </w:rPr>
        <w:t>供应商法定代表人或代理人（签字或盖章）：</w:t>
      </w:r>
      <w:r>
        <w:rPr>
          <w:rFonts w:ascii="宋体" w:hAnsi="宋体"/>
          <w:sz w:val="24"/>
        </w:rPr>
        <w:t xml:space="preserve">       </w:t>
      </w:r>
    </w:p>
    <w:p>
      <w:pPr>
        <w:rPr>
          <w:rFonts w:ascii="宋体" w:hAnsi="宋体"/>
          <w:sz w:val="24"/>
        </w:rPr>
      </w:pPr>
      <w:r>
        <w:rPr>
          <w:rFonts w:hint="eastAsia" w:ascii="宋体" w:hAnsi="宋体"/>
          <w:sz w:val="24"/>
        </w:rPr>
        <w:t>供应商名称（公章）：</w:t>
      </w:r>
      <w:r>
        <w:rPr>
          <w:rFonts w:ascii="宋体" w:hAnsi="宋体"/>
          <w:sz w:val="24"/>
        </w:rPr>
        <w:t xml:space="preserve">             </w:t>
      </w:r>
    </w:p>
    <w:p>
      <w:pPr>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b/>
          <w:bCs/>
          <w:sz w:val="24"/>
        </w:rPr>
      </w:pPr>
      <w:r>
        <w:rPr>
          <w:rFonts w:hint="eastAsia" w:ascii="宋体" w:hAnsi="宋体"/>
          <w:b/>
          <w:bCs/>
          <w:sz w:val="24"/>
        </w:rPr>
        <w:t>附件二：</w:t>
      </w:r>
      <w:bookmarkEnd w:id="97"/>
      <w:bookmarkEnd w:id="98"/>
    </w:p>
    <w:p>
      <w:pPr>
        <w:spacing w:line="360" w:lineRule="auto"/>
        <w:jc w:val="center"/>
        <w:rPr>
          <w:rFonts w:ascii="宋体" w:hAnsi="宋体"/>
          <w:b/>
          <w:sz w:val="32"/>
          <w:szCs w:val="32"/>
        </w:rPr>
      </w:pPr>
      <w:r>
        <w:rPr>
          <w:rFonts w:hint="eastAsia" w:ascii="宋体" w:hAnsi="宋体"/>
          <w:b/>
          <w:sz w:val="32"/>
          <w:szCs w:val="32"/>
        </w:rPr>
        <w:t>法定代表人资格证明书</w:t>
      </w:r>
    </w:p>
    <w:p>
      <w:pPr>
        <w:spacing w:line="360" w:lineRule="auto"/>
        <w:rPr>
          <w:rFonts w:ascii="宋体" w:hAnsi="宋体"/>
          <w:sz w:val="24"/>
        </w:rPr>
      </w:pPr>
      <w:r>
        <w:rPr>
          <w:rFonts w:hint="eastAsia" w:ascii="宋体" w:hAnsi="宋体"/>
          <w:sz w:val="24"/>
        </w:rPr>
        <w:t>单位名称</w:t>
      </w:r>
      <w:r>
        <w:rPr>
          <w:rFonts w:ascii="宋体" w:hAnsi="宋体"/>
          <w:sz w:val="24"/>
        </w:rPr>
        <w:t>:</w:t>
      </w:r>
    </w:p>
    <w:p>
      <w:pPr>
        <w:spacing w:line="360" w:lineRule="auto"/>
        <w:rPr>
          <w:rFonts w:ascii="宋体" w:hAnsi="宋体"/>
          <w:sz w:val="24"/>
        </w:rPr>
      </w:pPr>
      <w:r>
        <w:rPr>
          <w:rFonts w:hint="eastAsia" w:ascii="宋体" w:hAnsi="宋体"/>
          <w:sz w:val="24"/>
        </w:rPr>
        <w:t>地址</w:t>
      </w:r>
      <w:r>
        <w:rPr>
          <w:rFonts w:ascii="宋体" w:hAnsi="宋体"/>
          <w:sz w:val="24"/>
        </w:rPr>
        <w:t>:</w:t>
      </w:r>
    </w:p>
    <w:p>
      <w:pPr>
        <w:spacing w:line="360" w:lineRule="auto"/>
        <w:rPr>
          <w:rFonts w:ascii="宋体" w:hAnsi="宋体"/>
          <w:sz w:val="24"/>
        </w:rPr>
      </w:pPr>
      <w:r>
        <w:rPr>
          <w:rFonts w:hint="eastAsia" w:ascii="宋体" w:hAnsi="宋体"/>
          <w:sz w:val="24"/>
        </w:rPr>
        <w:t>姓名</w:t>
      </w:r>
      <w:r>
        <w:rPr>
          <w:rFonts w:ascii="宋体" w:hAnsi="宋体"/>
          <w:sz w:val="24"/>
        </w:rPr>
        <w:t>:            </w:t>
      </w:r>
      <w:r>
        <w:rPr>
          <w:rFonts w:hint="eastAsia" w:ascii="宋体" w:hAnsi="宋体"/>
          <w:sz w:val="24"/>
        </w:rPr>
        <w:t>性别</w:t>
      </w:r>
      <w:r>
        <w:rPr>
          <w:rFonts w:ascii="宋体" w:hAnsi="宋体"/>
          <w:sz w:val="24"/>
        </w:rPr>
        <w:t>:        </w:t>
      </w:r>
      <w:r>
        <w:rPr>
          <w:rFonts w:hint="eastAsia" w:ascii="宋体" w:hAnsi="宋体"/>
          <w:sz w:val="24"/>
        </w:rPr>
        <w:t>年龄</w:t>
      </w:r>
      <w:r>
        <w:rPr>
          <w:rFonts w:ascii="宋体" w:hAnsi="宋体"/>
          <w:sz w:val="24"/>
        </w:rPr>
        <w:t>:        </w:t>
      </w:r>
      <w:r>
        <w:rPr>
          <w:rFonts w:hint="eastAsia" w:ascii="宋体" w:hAnsi="宋体"/>
          <w:sz w:val="24"/>
        </w:rPr>
        <w:t>职务</w:t>
      </w:r>
      <w:r>
        <w:rPr>
          <w:rFonts w:ascii="宋体" w:hAnsi="宋体"/>
          <w:sz w:val="24"/>
        </w:rPr>
        <w:t>:</w:t>
      </w:r>
    </w:p>
    <w:p>
      <w:pPr>
        <w:spacing w:line="360" w:lineRule="auto"/>
        <w:rPr>
          <w:rFonts w:ascii="宋体" w:hAnsi="宋体"/>
          <w:sz w:val="24"/>
        </w:rPr>
      </w:pPr>
      <w:r>
        <w:rPr>
          <w:rFonts w:hint="eastAsia" w:ascii="宋体" w:hAnsi="宋体"/>
          <w:sz w:val="24"/>
        </w:rPr>
        <w:t>系</w:t>
      </w:r>
      <w:r>
        <w:rPr>
          <w:rFonts w:ascii="宋体" w:hAnsi="宋体"/>
          <w:sz w:val="24"/>
          <w:u w:val="single"/>
        </w:rPr>
        <w:t xml:space="preserve">                    </w:t>
      </w:r>
      <w:r>
        <w:rPr>
          <w:rFonts w:ascii="宋体" w:hAnsi="宋体"/>
          <w:sz w:val="24"/>
        </w:rPr>
        <w:t> </w:t>
      </w:r>
      <w:r>
        <w:rPr>
          <w:rFonts w:hint="eastAsia" w:ascii="宋体" w:hAnsi="宋体"/>
          <w:sz w:val="24"/>
        </w:rPr>
        <w:t>的法定代表人。为实施</w:t>
      </w:r>
      <w:r>
        <w:rPr>
          <w:rFonts w:ascii="宋体" w:hAnsi="宋体"/>
          <w:sz w:val="24"/>
          <w:u w:val="single"/>
        </w:rPr>
        <w:t>ZRCG-20180</w:t>
      </w:r>
      <w:r>
        <w:rPr>
          <w:rFonts w:hint="eastAsia" w:ascii="宋体" w:hAnsi="宋体"/>
          <w:sz w:val="24"/>
          <w:u w:val="single"/>
        </w:rPr>
        <w:t>6</w:t>
      </w:r>
      <w:r>
        <w:rPr>
          <w:rFonts w:ascii="宋体" w:hAnsi="宋体"/>
          <w:sz w:val="24"/>
          <w:u w:val="single"/>
        </w:rPr>
        <w:t>04 </w:t>
      </w:r>
      <w:r>
        <w:rPr>
          <w:rFonts w:hint="eastAsia" w:ascii="宋体" w:hAnsi="宋体"/>
          <w:sz w:val="24"/>
        </w:rPr>
        <w:t>的工作，签署上述项目的响应文件、进行合同谈判、签署合同和处理与之有关的一切事务。</w:t>
      </w:r>
    </w:p>
    <w:p>
      <w:pPr>
        <w:spacing w:line="360" w:lineRule="auto"/>
        <w:rPr>
          <w:rFonts w:ascii="宋体" w:hAnsi="宋体"/>
          <w:sz w:val="24"/>
        </w:rPr>
      </w:pPr>
      <w:r>
        <w:rPr>
          <w:rFonts w:hint="eastAsia" w:ascii="宋体" w:hAnsi="宋体"/>
          <w:sz w:val="24"/>
        </w:rPr>
        <w:t>特此证明。</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ascii="宋体" w:hAnsi="宋体"/>
          <w:sz w:val="24"/>
        </w:rPr>
        <w:t xml:space="preserve">                                                </w:t>
      </w:r>
      <w:r>
        <w:rPr>
          <w:rFonts w:hint="eastAsia" w:ascii="宋体" w:hAnsi="宋体"/>
          <w:sz w:val="24"/>
        </w:rPr>
        <w:t>供应商：（公章）</w:t>
      </w:r>
    </w:p>
    <w:p>
      <w:pPr>
        <w:spacing w:line="360" w:lineRule="auto"/>
        <w:rPr>
          <w:rFonts w:ascii="宋体" w:hAnsi="宋体"/>
          <w:sz w:val="24"/>
        </w:rPr>
      </w:pPr>
      <w:r>
        <w:rPr>
          <w:rFonts w:ascii="宋体" w:hAnsi="宋体"/>
          <w:sz w:val="24"/>
        </w:rPr>
        <w:t xml:space="preserve">                                                </w:t>
      </w:r>
      <w:r>
        <w:rPr>
          <w:rFonts w:hint="eastAsia" w:ascii="宋体" w:hAnsi="宋体"/>
          <w:sz w:val="24"/>
        </w:rPr>
        <w:t>法定代表人签字或盖章：</w:t>
      </w:r>
    </w:p>
    <w:p>
      <w:pPr>
        <w:spacing w:line="360" w:lineRule="auto"/>
        <w:ind w:firstLine="5040" w:firstLineChars="2100"/>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6045"/>
        </w:tabs>
        <w:snapToGrid w:val="0"/>
        <w:spacing w:line="360" w:lineRule="auto"/>
        <w:ind w:left="220" w:hanging="220" w:hangingChars="100"/>
        <w:rPr>
          <w:rFonts w:ascii="宋体" w:hAnsi="宋体"/>
          <w:sz w:val="22"/>
        </w:rPr>
      </w:pPr>
    </w:p>
    <w:p>
      <w:pPr>
        <w:tabs>
          <w:tab w:val="left" w:pos="6045"/>
        </w:tabs>
        <w:snapToGrid w:val="0"/>
        <w:spacing w:line="360" w:lineRule="auto"/>
        <w:ind w:left="220" w:hanging="220" w:hangingChars="100"/>
        <w:rPr>
          <w:rFonts w:ascii="宋体" w:hAnsi="宋体"/>
          <w:sz w:val="22"/>
        </w:rPr>
      </w:pPr>
    </w:p>
    <w:p>
      <w:pPr>
        <w:tabs>
          <w:tab w:val="left" w:pos="6045"/>
        </w:tabs>
        <w:snapToGrid w:val="0"/>
        <w:spacing w:line="360" w:lineRule="auto"/>
        <w:ind w:left="220" w:hanging="220" w:hangingChars="100"/>
        <w:rPr>
          <w:rFonts w:ascii="宋体" w:hAnsi="宋体"/>
          <w:sz w:val="22"/>
        </w:rPr>
      </w:pPr>
    </w:p>
    <w:p>
      <w:pPr>
        <w:spacing w:line="360" w:lineRule="auto"/>
        <w:rPr>
          <w:rFonts w:ascii="宋体" w:hAnsi="宋体"/>
          <w:sz w:val="24"/>
        </w:rPr>
      </w:pPr>
      <w:r>
        <w:rPr>
          <w:rFonts w:hint="eastAsia" w:ascii="宋体" w:hAnsi="宋体"/>
          <w:sz w:val="24"/>
        </w:rPr>
        <w:t>法定代表人身份证</w:t>
      </w:r>
    </w:p>
    <w:p>
      <w:pPr>
        <w:spacing w:line="360" w:lineRule="auto"/>
        <w:rPr>
          <w:rFonts w:ascii="宋体" w:hAnsi="宋体"/>
          <w:sz w:val="24"/>
        </w:rPr>
      </w:pPr>
      <w:r>
        <w:rPr>
          <w:rFonts w:hint="eastAsia" w:ascii="宋体" w:hAnsi="宋体"/>
          <w:sz w:val="24"/>
        </w:rPr>
        <w:t>（复印件）粘贴处</w:t>
      </w: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Pr>
        <w:pStyle w:val="3"/>
        <w:numPr>
          <w:ilvl w:val="0"/>
          <w:numId w:val="0"/>
        </w:numPr>
        <w:snapToGrid w:val="0"/>
        <w:spacing w:line="360" w:lineRule="auto"/>
        <w:rPr>
          <w:rFonts w:ascii="宋体" w:hAnsi="宋体" w:eastAsia="宋体"/>
          <w:b/>
          <w:bCs/>
          <w:sz w:val="24"/>
        </w:rPr>
      </w:pPr>
      <w:r>
        <w:rPr>
          <w:rFonts w:ascii="宋体" w:hAnsi="宋体" w:eastAsia="宋体"/>
          <w:b/>
          <w:bCs/>
          <w:sz w:val="24"/>
        </w:rPr>
        <w:br w:type="page"/>
      </w:r>
      <w:r>
        <w:rPr>
          <w:rFonts w:hint="eastAsia" w:ascii="宋体" w:hAnsi="宋体" w:eastAsia="宋体"/>
          <w:b/>
          <w:bCs/>
          <w:sz w:val="24"/>
        </w:rPr>
        <w:t>附件三：</w:t>
      </w:r>
    </w:p>
    <w:p>
      <w:pPr>
        <w:spacing w:line="360" w:lineRule="auto"/>
        <w:jc w:val="center"/>
        <w:rPr>
          <w:rFonts w:ascii="宋体" w:hAnsi="宋体"/>
          <w:b/>
          <w:sz w:val="32"/>
          <w:szCs w:val="32"/>
        </w:rPr>
      </w:pPr>
      <w:bookmarkStart w:id="99" w:name="_Toc288738394"/>
      <w:bookmarkStart w:id="100" w:name="_Toc288738836"/>
      <w:r>
        <w:rPr>
          <w:rFonts w:hint="eastAsia" w:ascii="宋体" w:hAnsi="宋体"/>
          <w:b/>
          <w:sz w:val="32"/>
          <w:szCs w:val="32"/>
        </w:rPr>
        <w:t>授权委托书</w:t>
      </w:r>
    </w:p>
    <w:p>
      <w:pPr>
        <w:spacing w:line="360" w:lineRule="auto"/>
        <w:ind w:firstLine="480" w:firstLineChars="200"/>
        <w:rPr>
          <w:rFonts w:ascii="宋体" w:hAnsi="宋体"/>
          <w:sz w:val="24"/>
        </w:rPr>
      </w:pPr>
      <w:r>
        <w:rPr>
          <w:rFonts w:hint="eastAsia" w:ascii="宋体" w:hAnsi="宋体"/>
          <w:sz w:val="24"/>
        </w:rPr>
        <w:t>本授权委托书声明：</w:t>
      </w:r>
      <w:r>
        <w:rPr>
          <w:rFonts w:ascii="宋体" w:hAnsi="宋体"/>
          <w:sz w:val="24"/>
        </w:rPr>
        <w:t>___________________________</w:t>
      </w:r>
      <w:r>
        <w:rPr>
          <w:rFonts w:hint="eastAsia" w:ascii="宋体" w:hAnsi="宋体"/>
          <w:sz w:val="24"/>
        </w:rPr>
        <w:t>（供应商名称）的</w:t>
      </w:r>
      <w:r>
        <w:rPr>
          <w:rFonts w:ascii="宋体" w:hAnsi="宋体"/>
          <w:sz w:val="24"/>
        </w:rPr>
        <w:t>_______________________</w:t>
      </w:r>
      <w:r>
        <w:rPr>
          <w:rFonts w:hint="eastAsia" w:ascii="宋体" w:hAnsi="宋体"/>
          <w:sz w:val="24"/>
        </w:rPr>
        <w:t>（法定代表人姓名、职务）代表供应商授权</w:t>
      </w:r>
      <w:r>
        <w:rPr>
          <w:rFonts w:ascii="宋体" w:hAnsi="宋体"/>
          <w:sz w:val="24"/>
        </w:rPr>
        <w:t>_______________________</w:t>
      </w:r>
      <w:r>
        <w:rPr>
          <w:rFonts w:hint="eastAsia" w:ascii="宋体" w:hAnsi="宋体"/>
          <w:sz w:val="24"/>
        </w:rPr>
        <w:t>（被授权人的姓名、职务）为</w:t>
      </w:r>
      <w:r>
        <w:rPr>
          <w:rFonts w:ascii="宋体" w:hAnsi="宋体"/>
          <w:sz w:val="24"/>
          <w:u w:val="single"/>
        </w:rPr>
        <w:t>ZRCG-20180</w:t>
      </w:r>
      <w:r>
        <w:rPr>
          <w:rFonts w:hint="eastAsia" w:ascii="宋体" w:hAnsi="宋体"/>
          <w:sz w:val="24"/>
          <w:u w:val="single"/>
        </w:rPr>
        <w:t>6</w:t>
      </w:r>
      <w:r>
        <w:rPr>
          <w:rFonts w:ascii="宋体" w:hAnsi="宋体"/>
          <w:sz w:val="24"/>
          <w:u w:val="single"/>
        </w:rPr>
        <w:t>04</w:t>
      </w:r>
      <w:r>
        <w:rPr>
          <w:rFonts w:hint="eastAsia" w:ascii="宋体" w:hAnsi="宋体"/>
          <w:sz w:val="24"/>
        </w:rPr>
        <w:t>项目竞争性谈判的合法代理人，全权负责参加本次政府采购项目的采购活动、签订合约以及与之相关的各项工作。本供应商对代理人的签名负全部责任。</w:t>
      </w:r>
    </w:p>
    <w:p>
      <w:pPr>
        <w:spacing w:line="360" w:lineRule="auto"/>
        <w:ind w:firstLine="480" w:firstLineChars="200"/>
        <w:rPr>
          <w:rFonts w:ascii="宋体" w:hAns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法定代表人签字或盖章：</w:t>
      </w:r>
      <w:r>
        <w:rPr>
          <w:rFonts w:ascii="宋体" w:hAnsi="宋体"/>
          <w:sz w:val="24"/>
        </w:rPr>
        <w:t xml:space="preserve">             </w:t>
      </w:r>
      <w:r>
        <w:rPr>
          <w:rFonts w:hint="eastAsia" w:ascii="宋体" w:hAnsi="宋体"/>
          <w:sz w:val="24"/>
        </w:rPr>
        <w:t>日期：</w:t>
      </w:r>
    </w:p>
    <w:p>
      <w:pPr>
        <w:spacing w:line="360" w:lineRule="auto"/>
        <w:rPr>
          <w:rFonts w:ascii="宋体" w:hAnsi="宋体"/>
          <w:sz w:val="24"/>
        </w:rPr>
      </w:pPr>
      <w:r>
        <w:rPr>
          <w:rFonts w:hint="eastAsia" w:ascii="宋体" w:hAnsi="宋体"/>
          <w:sz w:val="24"/>
        </w:rPr>
        <w:t>职务：</w:t>
      </w:r>
      <w:r>
        <w:rPr>
          <w:rFonts w:ascii="宋体" w:hAnsi="宋体"/>
          <w:sz w:val="24"/>
        </w:rPr>
        <w:t xml:space="preserve">                                                   </w:t>
      </w:r>
      <w:r>
        <w:rPr>
          <w:rFonts w:hint="eastAsia" w:ascii="宋体" w:hAnsi="宋体"/>
          <w:sz w:val="24"/>
        </w:rPr>
        <w:t>联系电话：</w:t>
      </w:r>
    </w:p>
    <w:p>
      <w:pPr>
        <w:spacing w:line="360" w:lineRule="auto"/>
        <w:rPr>
          <w:rFonts w:ascii="宋体" w:hAnsi="宋体"/>
          <w:sz w:val="24"/>
        </w:rPr>
      </w:pPr>
      <w:r>
        <w:rPr>
          <w:rFonts w:hint="eastAsia" w:ascii="宋体" w:hAnsi="宋体"/>
          <w:sz w:val="24"/>
        </w:rPr>
        <w:t>单位名称：</w:t>
      </w:r>
      <w:r>
        <w:rPr>
          <w:rFonts w:ascii="宋体" w:hAnsi="宋体"/>
          <w:sz w:val="24"/>
        </w:rPr>
        <w:t xml:space="preserve">                                               </w:t>
      </w:r>
      <w:r>
        <w:rPr>
          <w:rFonts w:hint="eastAsia" w:ascii="宋体" w:hAnsi="宋体"/>
          <w:sz w:val="24"/>
        </w:rPr>
        <w:t>地址：</w:t>
      </w:r>
    </w:p>
    <w:p>
      <w:pPr>
        <w:spacing w:line="360" w:lineRule="auto"/>
        <w:rPr>
          <w:rFonts w:ascii="宋体" w:hAnsi="宋体"/>
          <w:sz w:val="24"/>
        </w:rPr>
      </w:pPr>
      <w:r>
        <w:rPr>
          <w:rFonts w:hint="eastAsia" w:ascii="宋体" w:hAnsi="宋体"/>
          <w:sz w:val="24"/>
        </w:rPr>
        <w:t>身份证号码：</w:t>
      </w:r>
    </w:p>
    <w:p>
      <w:pPr>
        <w:spacing w:line="360" w:lineRule="auto"/>
        <w:rPr>
          <w:rFonts w:ascii="宋体" w:hAnsi="宋体"/>
          <w:sz w:val="24"/>
        </w:rPr>
      </w:pPr>
      <w:r>
        <w:rPr>
          <w:rFonts w:hint="eastAsia" w:ascii="宋体" w:hAnsi="宋体"/>
          <w:sz w:val="24"/>
        </w:rPr>
        <w:t>委托代理人签字或盖章：</w:t>
      </w:r>
      <w:r>
        <w:rPr>
          <w:rFonts w:ascii="宋体" w:hAnsi="宋体"/>
          <w:sz w:val="24"/>
        </w:rPr>
        <w:t xml:space="preserve">             </w:t>
      </w:r>
      <w:r>
        <w:rPr>
          <w:rFonts w:hint="eastAsia" w:ascii="宋体" w:hAnsi="宋体"/>
          <w:sz w:val="24"/>
        </w:rPr>
        <w:t>日期：</w:t>
      </w:r>
    </w:p>
    <w:p>
      <w:pPr>
        <w:spacing w:line="360" w:lineRule="auto"/>
        <w:rPr>
          <w:rFonts w:ascii="宋体" w:hAnsi="宋体"/>
          <w:sz w:val="24"/>
        </w:rPr>
      </w:pPr>
      <w:r>
        <w:rPr>
          <w:rFonts w:hint="eastAsia" w:ascii="宋体" w:hAnsi="宋体"/>
          <w:sz w:val="24"/>
        </w:rPr>
        <w:t>职务：</w:t>
      </w:r>
      <w:r>
        <w:rPr>
          <w:rFonts w:ascii="宋体" w:hAnsi="宋体"/>
          <w:sz w:val="24"/>
        </w:rPr>
        <w:t xml:space="preserve">                                                   </w:t>
      </w:r>
      <w:r>
        <w:rPr>
          <w:rFonts w:hint="eastAsia" w:ascii="宋体" w:hAnsi="宋体"/>
          <w:sz w:val="24"/>
        </w:rPr>
        <w:t>联系电话：</w:t>
      </w:r>
    </w:p>
    <w:p>
      <w:pPr>
        <w:spacing w:line="360" w:lineRule="auto"/>
        <w:rPr>
          <w:rFonts w:ascii="宋体" w:hAnsi="宋体"/>
          <w:sz w:val="24"/>
        </w:rPr>
      </w:pPr>
      <w:r>
        <w:rPr>
          <w:rFonts w:hint="eastAsia" w:ascii="宋体" w:hAnsi="宋体"/>
          <w:sz w:val="24"/>
        </w:rPr>
        <w:t>单位名称：</w:t>
      </w:r>
      <w:r>
        <w:rPr>
          <w:rFonts w:ascii="宋体" w:hAnsi="宋体"/>
          <w:sz w:val="24"/>
        </w:rPr>
        <w:t xml:space="preserve">                                               </w:t>
      </w:r>
      <w:r>
        <w:rPr>
          <w:rFonts w:hint="eastAsia" w:ascii="宋体" w:hAnsi="宋体"/>
          <w:sz w:val="24"/>
        </w:rPr>
        <w:t>地址：</w:t>
      </w:r>
    </w:p>
    <w:p>
      <w:pPr>
        <w:spacing w:line="360" w:lineRule="auto"/>
        <w:rPr>
          <w:rFonts w:ascii="宋体" w:hAnsi="宋体"/>
          <w:sz w:val="24"/>
        </w:rPr>
      </w:pPr>
      <w:r>
        <w:rPr>
          <w:rFonts w:hint="eastAsia" w:ascii="宋体" w:hAnsi="宋体"/>
          <w:sz w:val="24"/>
        </w:rPr>
        <w:t>身份证号码：</w:t>
      </w:r>
    </w:p>
    <w:p>
      <w:pPr>
        <w:spacing w:line="360" w:lineRule="auto"/>
        <w:rPr>
          <w:rFonts w:ascii="宋体" w:hAnsi="宋体"/>
          <w:sz w:val="24"/>
        </w:rPr>
      </w:pPr>
      <w:r>
        <w:rPr>
          <w:rFonts w:hint="eastAsia" w:ascii="宋体" w:hAnsi="宋体"/>
          <w:sz w:val="24"/>
        </w:rPr>
        <w:t>供应商公章：</w:t>
      </w:r>
    </w:p>
    <w:p>
      <w:pPr>
        <w:spacing w:line="360" w:lineRule="auto"/>
        <w:rPr>
          <w:rFonts w:ascii="宋体" w:hAnsi="宋体"/>
          <w:sz w:val="24"/>
        </w:rPr>
      </w:pPr>
      <w:r>
        <w:rPr>
          <w:rFonts w:hint="eastAsia" w:ascii="宋体" w:hAnsi="宋体"/>
          <w:sz w:val="24"/>
        </w:rPr>
        <w:t>地址：</w:t>
      </w:r>
      <w:r>
        <w:rPr>
          <w:rFonts w:ascii="宋体" w:hAnsi="宋体"/>
          <w:sz w:val="24"/>
        </w:rPr>
        <w:t xml:space="preserve">                                                    </w:t>
      </w:r>
      <w:r>
        <w:rPr>
          <w:rFonts w:hint="eastAsia" w:ascii="宋体" w:hAnsi="宋体"/>
          <w:sz w:val="24"/>
        </w:rPr>
        <w:t>电话：</w:t>
      </w:r>
    </w:p>
    <w:p>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hint="eastAsia" w:ascii="宋体" w:hAnsi="宋体"/>
          <w:sz w:val="24"/>
        </w:rPr>
        <w:t>邮编：</w:t>
      </w:r>
    </w:p>
    <w:p>
      <w:pPr>
        <w:spacing w:line="360" w:lineRule="auto"/>
        <w:rPr>
          <w:rFonts w:ascii="宋体" w:hAnsi="宋体"/>
          <w:sz w:val="24"/>
        </w:rPr>
      </w:pPr>
      <w:r>
        <w:rPr>
          <w:rFonts w:hint="eastAsia" w:ascii="宋体" w:hAnsi="宋体"/>
          <w:sz w:val="24"/>
        </w:rPr>
        <w:t>开户行：</w:t>
      </w:r>
    </w:p>
    <w:p>
      <w:pPr>
        <w:spacing w:line="360" w:lineRule="auto"/>
        <w:rPr>
          <w:rFonts w:ascii="宋体" w:hAnsi="宋体"/>
          <w:sz w:val="24"/>
        </w:rPr>
      </w:pPr>
      <w:r>
        <w:rPr>
          <w:rFonts w:hint="eastAsia" w:ascii="宋体" w:hAnsi="宋体"/>
          <w:sz w:val="24"/>
        </w:rPr>
        <w:t>帐号：</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代理人身份证</w:t>
      </w:r>
    </w:p>
    <w:p>
      <w:pPr>
        <w:spacing w:line="360" w:lineRule="auto"/>
        <w:rPr>
          <w:rFonts w:ascii="宋体" w:hAnsi="宋体"/>
          <w:sz w:val="24"/>
        </w:rPr>
      </w:pPr>
      <w:r>
        <w:rPr>
          <w:rFonts w:hint="eastAsia" w:ascii="宋体" w:hAnsi="宋体"/>
          <w:sz w:val="24"/>
        </w:rPr>
        <w:t>（复印件）粘贴处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备注：</w:t>
      </w:r>
    </w:p>
    <w:p>
      <w:pPr>
        <w:spacing w:line="360" w:lineRule="auto"/>
        <w:rPr>
          <w:rFonts w:ascii="宋体" w:hAnsi="宋体"/>
          <w:sz w:val="24"/>
        </w:rPr>
      </w:pPr>
      <w:r>
        <w:rPr>
          <w:rFonts w:ascii="宋体" w:hAnsi="宋体"/>
          <w:sz w:val="24"/>
        </w:rPr>
        <w:t>1</w:t>
      </w:r>
      <w:r>
        <w:rPr>
          <w:rFonts w:hint="eastAsia" w:ascii="宋体" w:hAnsi="宋体"/>
          <w:sz w:val="24"/>
        </w:rPr>
        <w:t>、法定代表人参加谈判会议时，需携带法人资格证明和本人身份证原件。</w:t>
      </w:r>
    </w:p>
    <w:p>
      <w:pPr>
        <w:spacing w:line="360" w:lineRule="auto"/>
        <w:rPr>
          <w:rFonts w:ascii="宋体" w:hAnsi="宋体"/>
          <w:sz w:val="24"/>
        </w:rPr>
      </w:pPr>
      <w:r>
        <w:rPr>
          <w:rFonts w:ascii="宋体" w:hAnsi="宋体"/>
          <w:sz w:val="24"/>
        </w:rPr>
        <w:t>2</w:t>
      </w:r>
      <w:r>
        <w:rPr>
          <w:rFonts w:hint="eastAsia" w:ascii="宋体" w:hAnsi="宋体"/>
          <w:sz w:val="24"/>
        </w:rPr>
        <w:t>、委托代理人参加谈判会议时，需携带授权委托书和本人身份证原件。</w:t>
      </w:r>
    </w:p>
    <w:p>
      <w:pPr>
        <w:pStyle w:val="3"/>
        <w:numPr>
          <w:ilvl w:val="0"/>
          <w:numId w:val="0"/>
        </w:numPr>
        <w:snapToGrid w:val="0"/>
        <w:spacing w:line="360" w:lineRule="auto"/>
        <w:rPr>
          <w:rFonts w:ascii="宋体" w:hAnsi="宋体" w:eastAsia="宋体"/>
          <w:b/>
          <w:bCs/>
          <w:sz w:val="24"/>
        </w:rPr>
      </w:pPr>
      <w:r>
        <w:rPr>
          <w:rFonts w:hint="eastAsia" w:ascii="宋体" w:hAnsi="宋体" w:eastAsia="宋体"/>
          <w:b/>
          <w:bCs/>
          <w:sz w:val="24"/>
        </w:rPr>
        <w:t>附件四：</w:t>
      </w:r>
    </w:p>
    <w:p>
      <w:pPr>
        <w:spacing w:line="360" w:lineRule="auto"/>
        <w:jc w:val="center"/>
        <w:rPr>
          <w:rFonts w:ascii="宋体" w:hAnsi="宋体"/>
          <w:b/>
          <w:sz w:val="32"/>
          <w:szCs w:val="32"/>
        </w:rPr>
      </w:pPr>
      <w:r>
        <w:rPr>
          <w:rFonts w:hint="eastAsia" w:ascii="宋体" w:hAnsi="宋体"/>
          <w:b/>
          <w:sz w:val="32"/>
          <w:szCs w:val="32"/>
        </w:rPr>
        <w:t>开标一览表</w:t>
      </w:r>
      <w:bookmarkEnd w:id="99"/>
      <w:bookmarkEnd w:id="100"/>
    </w:p>
    <w:p>
      <w:pPr>
        <w:pStyle w:val="4"/>
        <w:snapToGrid w:val="0"/>
        <w:spacing w:line="360" w:lineRule="auto"/>
        <w:ind w:firstLine="440"/>
        <w:rPr>
          <w:rFonts w:ascii="宋体" w:hAnsi="宋体"/>
          <w:sz w:val="22"/>
        </w:rPr>
      </w:pPr>
    </w:p>
    <w:p>
      <w:pPr>
        <w:snapToGrid w:val="0"/>
        <w:spacing w:line="360" w:lineRule="auto"/>
        <w:rPr>
          <w:rFonts w:ascii="宋体" w:hAnsi="宋体"/>
          <w:sz w:val="24"/>
        </w:rPr>
      </w:pPr>
      <w:r>
        <w:rPr>
          <w:rFonts w:hint="eastAsia" w:ascii="宋体" w:hAnsi="宋体"/>
          <w:sz w:val="24"/>
        </w:rPr>
        <w:t>供应商名称（公章）：</w:t>
      </w:r>
    </w:p>
    <w:p>
      <w:pPr>
        <w:snapToGrid w:val="0"/>
        <w:spacing w:line="360" w:lineRule="auto"/>
        <w:rPr>
          <w:rFonts w:ascii="宋体" w:hAnsi="宋体"/>
          <w:sz w:val="24"/>
        </w:rPr>
      </w:pPr>
      <w:r>
        <w:rPr>
          <w:rFonts w:hint="eastAsia" w:ascii="宋体" w:hAnsi="宋体"/>
          <w:sz w:val="24"/>
        </w:rPr>
        <w:t>项目编号：</w:t>
      </w:r>
    </w:p>
    <w:p>
      <w:pPr>
        <w:snapToGrid w:val="0"/>
        <w:spacing w:line="360" w:lineRule="auto"/>
        <w:jc w:val="right"/>
        <w:rPr>
          <w:rFonts w:ascii="宋体" w:hAnsi="宋体"/>
          <w:sz w:val="24"/>
        </w:rPr>
      </w:pPr>
      <w:r>
        <w:rPr>
          <w:rFonts w:hint="eastAsia" w:ascii="宋体" w:hAnsi="宋体"/>
          <w:sz w:val="24"/>
        </w:rPr>
        <w:t>单位：人民币（元）</w:t>
      </w:r>
    </w:p>
    <w:tbl>
      <w:tblPr>
        <w:tblStyle w:val="58"/>
        <w:tblW w:w="821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81"/>
        <w:gridCol w:w="2182"/>
        <w:gridCol w:w="2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FF0000"/>
                <w:sz w:val="24"/>
              </w:rPr>
            </w:pPr>
            <w:r>
              <w:rPr>
                <w:rFonts w:hint="eastAsia" w:ascii="宋体" w:hAnsi="宋体"/>
                <w:color w:val="FF0000"/>
                <w:sz w:val="24"/>
              </w:rPr>
              <w:t>项目名称</w:t>
            </w: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FF0000"/>
                <w:sz w:val="24"/>
              </w:rPr>
            </w:pPr>
            <w:r>
              <w:rPr>
                <w:rFonts w:hint="eastAsia" w:ascii="宋体" w:hAnsi="宋体"/>
                <w:color w:val="FF0000"/>
                <w:sz w:val="24"/>
              </w:rPr>
              <w:t>报价优惠比例为</w:t>
            </w:r>
          </w:p>
        </w:tc>
        <w:tc>
          <w:tcPr>
            <w:tcW w:w="22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FF0000"/>
                <w:sz w:val="24"/>
              </w:rPr>
            </w:pPr>
            <w:r>
              <w:rPr>
                <w:rFonts w:hint="eastAsia" w:ascii="宋体" w:hAnsi="宋体"/>
                <w:color w:val="FF0000"/>
                <w:sz w:val="24"/>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3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FF0000"/>
                <w:sz w:val="24"/>
              </w:rPr>
            </w:pP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FF0000"/>
                <w:sz w:val="24"/>
              </w:rPr>
            </w:pPr>
            <w:r>
              <w:rPr>
                <w:rFonts w:hint="eastAsia" w:ascii="宋体" w:hAnsi="宋体"/>
                <w:color w:val="FF0000"/>
                <w:sz w:val="24"/>
              </w:rPr>
              <w:t xml:space="preserve">     %</w:t>
            </w:r>
          </w:p>
        </w:tc>
        <w:tc>
          <w:tcPr>
            <w:tcW w:w="22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FF0000"/>
                <w:sz w:val="24"/>
              </w:rPr>
            </w:pPr>
          </w:p>
        </w:tc>
      </w:tr>
    </w:tbl>
    <w:p>
      <w:pPr>
        <w:snapToGrid w:val="0"/>
        <w:spacing w:line="360" w:lineRule="auto"/>
        <w:rPr>
          <w:rFonts w:ascii="宋体" w:hAnsi="宋体"/>
          <w:color w:val="FF0000"/>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法定代表人或代理人（签字或盖章）：：</w:t>
      </w:r>
    </w:p>
    <w:p>
      <w:pPr>
        <w:snapToGrid w:val="0"/>
        <w:spacing w:line="360" w:lineRule="auto"/>
        <w:rPr>
          <w:rFonts w:ascii="宋体" w:hAnsi="宋体"/>
          <w:sz w:val="24"/>
        </w:rPr>
      </w:pPr>
      <w:r>
        <w:rPr>
          <w:rFonts w:hint="eastAsia" w:ascii="宋体" w:hAnsi="宋体"/>
          <w:sz w:val="24"/>
        </w:rPr>
        <w:t>日期：</w:t>
      </w:r>
    </w:p>
    <w:p>
      <w:pPr>
        <w:snapToGrid w:val="0"/>
        <w:spacing w:line="360" w:lineRule="auto"/>
        <w:rPr>
          <w:rFonts w:ascii="宋体" w:hAnsi="宋体"/>
          <w:sz w:val="24"/>
        </w:rPr>
      </w:pPr>
    </w:p>
    <w:p>
      <w:pPr>
        <w:snapToGrid w:val="0"/>
        <w:spacing w:line="360" w:lineRule="auto"/>
        <w:rPr>
          <w:rFonts w:ascii="宋体" w:hAnsi="宋体"/>
          <w:b/>
          <w:sz w:val="24"/>
        </w:rPr>
      </w:pPr>
    </w:p>
    <w:p>
      <w:pPr>
        <w:pStyle w:val="3"/>
        <w:numPr>
          <w:ilvl w:val="0"/>
          <w:numId w:val="0"/>
        </w:numPr>
        <w:snapToGrid w:val="0"/>
        <w:spacing w:line="360" w:lineRule="auto"/>
        <w:rPr>
          <w:rFonts w:ascii="宋体" w:hAnsi="宋体" w:eastAsia="宋体"/>
          <w:b/>
          <w:bCs/>
          <w:sz w:val="24"/>
        </w:rPr>
      </w:pPr>
      <w:r>
        <w:rPr>
          <w:rFonts w:hint="eastAsia" w:ascii="宋体" w:hAnsi="宋体" w:eastAsia="宋体"/>
          <w:b/>
          <w:bCs/>
          <w:sz w:val="22"/>
        </w:rPr>
        <w:br w:type="page"/>
      </w:r>
      <w:bookmarkStart w:id="101" w:name="_Toc288738395"/>
      <w:bookmarkStart w:id="102" w:name="_Toc288738837"/>
      <w:r>
        <w:rPr>
          <w:rFonts w:hint="eastAsia" w:ascii="宋体" w:hAnsi="宋体" w:eastAsia="宋体"/>
          <w:b/>
          <w:bCs/>
          <w:sz w:val="24"/>
        </w:rPr>
        <w:t>附件五：</w:t>
      </w:r>
      <w:bookmarkEnd w:id="101"/>
      <w:bookmarkEnd w:id="102"/>
      <w:bookmarkStart w:id="103" w:name="_Toc288738396"/>
      <w:bookmarkStart w:id="104" w:name="_Toc288738838"/>
    </w:p>
    <w:p>
      <w:pPr>
        <w:pStyle w:val="5"/>
        <w:ind w:firstLine="480"/>
      </w:pPr>
    </w:p>
    <w:p>
      <w:pPr>
        <w:spacing w:line="360" w:lineRule="auto"/>
        <w:jc w:val="center"/>
        <w:rPr>
          <w:rFonts w:ascii="宋体" w:hAnsi="宋体"/>
          <w:b/>
          <w:sz w:val="32"/>
          <w:szCs w:val="32"/>
        </w:rPr>
      </w:pPr>
      <w:r>
        <w:rPr>
          <w:rFonts w:hint="eastAsia" w:ascii="宋体" w:hAnsi="宋体"/>
          <w:b/>
          <w:sz w:val="32"/>
          <w:szCs w:val="32"/>
        </w:rPr>
        <w:t>参加本项目小组成员一览</w:t>
      </w:r>
      <w:bookmarkEnd w:id="103"/>
      <w:bookmarkEnd w:id="104"/>
    </w:p>
    <w:p>
      <w:pPr>
        <w:snapToGrid w:val="0"/>
        <w:spacing w:line="360" w:lineRule="auto"/>
        <w:rPr>
          <w:rFonts w:ascii="宋体" w:hAnsi="宋体"/>
          <w:sz w:val="22"/>
        </w:rPr>
      </w:pPr>
    </w:p>
    <w:p>
      <w:pPr>
        <w:snapToGrid w:val="0"/>
        <w:spacing w:line="360" w:lineRule="auto"/>
        <w:rPr>
          <w:rFonts w:ascii="宋体" w:hAnsi="宋体"/>
          <w:sz w:val="22"/>
        </w:rPr>
      </w:pPr>
      <w:r>
        <w:rPr>
          <w:rFonts w:hint="eastAsia" w:ascii="宋体" w:hAnsi="宋体"/>
          <w:sz w:val="22"/>
        </w:rPr>
        <w:t>项目编号：</w:t>
      </w:r>
    </w:p>
    <w:tbl>
      <w:tblPr>
        <w:tblStyle w:val="58"/>
        <w:tblW w:w="932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735"/>
        <w:gridCol w:w="735"/>
        <w:gridCol w:w="735"/>
        <w:gridCol w:w="1155"/>
        <w:gridCol w:w="735"/>
        <w:gridCol w:w="840"/>
        <w:gridCol w:w="1260"/>
        <w:gridCol w:w="945"/>
        <w:gridCol w:w="1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hAnsi="宋体"/>
                <w:sz w:val="20"/>
                <w:szCs w:val="20"/>
              </w:rPr>
            </w:pPr>
            <w:r>
              <w:rPr>
                <w:rFonts w:hint="eastAsia" w:ascii="宋体" w:hAnsi="宋体"/>
                <w:sz w:val="20"/>
              </w:rPr>
              <w:t>序号</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hAnsi="宋体"/>
                <w:sz w:val="20"/>
                <w:szCs w:val="20"/>
              </w:rPr>
            </w:pPr>
            <w:r>
              <w:rPr>
                <w:rFonts w:hint="eastAsia" w:ascii="宋体" w:hAnsi="宋体"/>
                <w:sz w:val="20"/>
              </w:rPr>
              <w:t>姓名</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hAnsi="宋体"/>
                <w:sz w:val="20"/>
                <w:szCs w:val="20"/>
              </w:rPr>
            </w:pPr>
            <w:r>
              <w:rPr>
                <w:rFonts w:hint="eastAsia" w:ascii="宋体" w:hAnsi="宋体"/>
                <w:sz w:val="20"/>
              </w:rPr>
              <w:t>性别</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hAnsi="宋体"/>
                <w:sz w:val="20"/>
                <w:szCs w:val="20"/>
              </w:rPr>
            </w:pPr>
            <w:r>
              <w:rPr>
                <w:rFonts w:hint="eastAsia" w:ascii="宋体" w:hAnsi="宋体"/>
                <w:sz w:val="20"/>
              </w:rPr>
              <w:t>年龄</w:t>
            </w:r>
          </w:p>
        </w:tc>
        <w:tc>
          <w:tcPr>
            <w:tcW w:w="115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hAnsi="宋体"/>
                <w:sz w:val="20"/>
                <w:szCs w:val="20"/>
              </w:rPr>
            </w:pPr>
            <w:r>
              <w:rPr>
                <w:rFonts w:hint="eastAsia" w:ascii="宋体" w:hAnsi="宋体"/>
                <w:sz w:val="20"/>
              </w:rPr>
              <w:t>毕业学校和学历</w:t>
            </w:r>
          </w:p>
        </w:tc>
        <w:tc>
          <w:tcPr>
            <w:tcW w:w="73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hAnsi="宋体"/>
                <w:sz w:val="20"/>
                <w:szCs w:val="20"/>
              </w:rPr>
            </w:pPr>
            <w:r>
              <w:rPr>
                <w:rFonts w:hint="eastAsia" w:ascii="宋体" w:hAnsi="宋体"/>
                <w:sz w:val="20"/>
              </w:rPr>
              <w:t>专业</w:t>
            </w:r>
          </w:p>
        </w:tc>
        <w:tc>
          <w:tcPr>
            <w:tcW w:w="840"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hAnsi="宋体"/>
                <w:sz w:val="20"/>
                <w:szCs w:val="20"/>
              </w:rPr>
            </w:pPr>
            <w:r>
              <w:rPr>
                <w:rFonts w:hint="eastAsia" w:ascii="宋体" w:hAnsi="宋体"/>
                <w:sz w:val="20"/>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hAnsi="宋体"/>
                <w:sz w:val="20"/>
                <w:szCs w:val="20"/>
              </w:rPr>
            </w:pPr>
            <w:r>
              <w:rPr>
                <w:rFonts w:hint="eastAsia" w:ascii="宋体" w:hAnsi="宋体"/>
                <w:sz w:val="20"/>
              </w:rPr>
              <w:t>专业培训及证书</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hAnsi="宋体"/>
                <w:sz w:val="20"/>
                <w:szCs w:val="20"/>
              </w:rPr>
            </w:pPr>
            <w:r>
              <w:rPr>
                <w:rFonts w:hint="eastAsia" w:ascii="宋体" w:hAnsi="宋体"/>
                <w:sz w:val="20"/>
              </w:rPr>
              <w:t>责任</w:t>
            </w:r>
          </w:p>
          <w:p>
            <w:pPr>
              <w:tabs>
                <w:tab w:val="left" w:pos="9765"/>
              </w:tabs>
              <w:snapToGrid w:val="0"/>
              <w:spacing w:line="360" w:lineRule="auto"/>
              <w:jc w:val="center"/>
              <w:rPr>
                <w:rFonts w:ascii="宋体" w:hAnsi="宋体"/>
                <w:sz w:val="20"/>
                <w:szCs w:val="20"/>
              </w:rPr>
            </w:pPr>
            <w:r>
              <w:rPr>
                <w:rFonts w:hint="eastAsia" w:ascii="宋体" w:hAnsi="宋体"/>
                <w:sz w:val="20"/>
              </w:rPr>
              <w:t>或分工</w:t>
            </w:r>
          </w:p>
        </w:tc>
        <w:tc>
          <w:tcPr>
            <w:tcW w:w="1551"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ascii="宋体" w:hAnsi="宋体"/>
                <w:sz w:val="20"/>
                <w:szCs w:val="20"/>
              </w:rPr>
            </w:pPr>
            <w:r>
              <w:rPr>
                <w:rFonts w:hint="eastAsia" w:ascii="宋体" w:hAnsi="宋体"/>
                <w:sz w:val="20"/>
              </w:rPr>
              <w:t>项目经历或主要工作业绩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115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84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126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1551"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115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84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126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1551"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115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84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1551"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115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84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1551"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115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84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c>
          <w:tcPr>
            <w:tcW w:w="1551"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115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73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84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1260"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c>
          <w:tcPr>
            <w:tcW w:w="1551"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ascii="宋体" w:hAnsi="宋体"/>
                <w:sz w:val="20"/>
                <w:szCs w:val="20"/>
              </w:rPr>
            </w:pPr>
            <w:r>
              <w:rPr>
                <w:rFonts w:hint="eastAsia" w:ascii="宋体" w:hAnsi="宋体" w:cs="宋体"/>
                <w:sz w:val="20"/>
              </w:rPr>
              <w:t> </w:t>
            </w:r>
          </w:p>
        </w:tc>
      </w:tr>
    </w:tbl>
    <w:p>
      <w:pPr>
        <w:tabs>
          <w:tab w:val="left" w:pos="9765"/>
        </w:tabs>
        <w:autoSpaceDE w:val="0"/>
        <w:autoSpaceDN w:val="0"/>
        <w:adjustRightInd w:val="0"/>
        <w:snapToGrid w:val="0"/>
        <w:spacing w:line="360" w:lineRule="auto"/>
        <w:rPr>
          <w:rFonts w:ascii="宋体" w:hAnsi="宋体"/>
          <w:sz w:val="20"/>
          <w:szCs w:val="21"/>
        </w:rPr>
      </w:pPr>
      <w:r>
        <w:rPr>
          <w:rFonts w:hint="eastAsia" w:ascii="宋体" w:hAnsi="宋体"/>
          <w:sz w:val="20"/>
          <w:szCs w:val="21"/>
          <w:lang w:val="zh-CN"/>
        </w:rPr>
        <w:t>注：参加本项目人员须是供应商正式职工。</w:t>
      </w:r>
    </w:p>
    <w:p>
      <w:pPr>
        <w:snapToGrid w:val="0"/>
        <w:spacing w:line="360" w:lineRule="auto"/>
        <w:rPr>
          <w:rFonts w:ascii="宋体" w:hAnsi="宋体"/>
          <w:sz w:val="22"/>
        </w:rPr>
      </w:pPr>
    </w:p>
    <w:p>
      <w:pPr>
        <w:widowControl/>
        <w:snapToGrid w:val="0"/>
        <w:spacing w:line="360" w:lineRule="auto"/>
        <w:rPr>
          <w:rFonts w:ascii="宋体" w:hAnsi="宋体" w:cs="Arial"/>
          <w:kern w:val="0"/>
          <w:sz w:val="24"/>
        </w:rPr>
      </w:pPr>
      <w:r>
        <w:rPr>
          <w:rFonts w:hint="eastAsia" w:ascii="宋体" w:hAnsi="宋体" w:cs="Arial"/>
          <w:kern w:val="0"/>
          <w:sz w:val="24"/>
        </w:rPr>
        <w:t>供应商名称（公章）：</w:t>
      </w:r>
    </w:p>
    <w:p>
      <w:pPr>
        <w:snapToGrid w:val="0"/>
        <w:spacing w:line="360" w:lineRule="auto"/>
        <w:rPr>
          <w:rFonts w:ascii="宋体" w:hAnsi="宋体"/>
          <w:sz w:val="20"/>
          <w:szCs w:val="20"/>
        </w:rPr>
      </w:pPr>
      <w:r>
        <w:rPr>
          <w:rFonts w:hint="eastAsia" w:ascii="宋体" w:hAnsi="宋体"/>
          <w:sz w:val="24"/>
        </w:rPr>
        <w:t>法定代表人或代理人（签字或盖章）：</w:t>
      </w:r>
    </w:p>
    <w:p>
      <w:pPr>
        <w:pStyle w:val="3"/>
        <w:numPr>
          <w:ilvl w:val="0"/>
          <w:numId w:val="0"/>
        </w:numPr>
        <w:snapToGrid w:val="0"/>
        <w:spacing w:line="360" w:lineRule="auto"/>
        <w:rPr>
          <w:rFonts w:ascii="宋体" w:hAnsi="宋体" w:eastAsia="宋体"/>
          <w:b/>
          <w:bCs/>
          <w:sz w:val="24"/>
        </w:rPr>
      </w:pPr>
      <w:r>
        <w:rPr>
          <w:rFonts w:ascii="宋体" w:hAnsi="宋体" w:eastAsia="宋体"/>
          <w:sz w:val="22"/>
        </w:rPr>
        <w:br w:type="page"/>
      </w:r>
      <w:bookmarkStart w:id="105" w:name="_Toc288738397"/>
      <w:bookmarkStart w:id="106" w:name="_Toc288738839"/>
      <w:r>
        <w:rPr>
          <w:rFonts w:hint="eastAsia" w:ascii="宋体" w:hAnsi="宋体" w:eastAsia="宋体"/>
          <w:b/>
          <w:bCs/>
          <w:sz w:val="24"/>
        </w:rPr>
        <w:t>附件六：</w:t>
      </w:r>
    </w:p>
    <w:p>
      <w:pPr>
        <w:spacing w:line="360" w:lineRule="auto"/>
        <w:jc w:val="center"/>
        <w:rPr>
          <w:rFonts w:ascii="宋体" w:hAnsi="宋体"/>
          <w:b/>
          <w:sz w:val="32"/>
          <w:szCs w:val="32"/>
        </w:rPr>
      </w:pPr>
      <w:r>
        <w:rPr>
          <w:rFonts w:hint="eastAsia" w:ascii="宋体" w:hAnsi="宋体"/>
          <w:b/>
          <w:sz w:val="32"/>
          <w:szCs w:val="32"/>
        </w:rPr>
        <w:t>相关业绩案例一览表</w:t>
      </w:r>
      <w:bookmarkEnd w:id="105"/>
      <w:bookmarkEnd w:id="106"/>
    </w:p>
    <w:p>
      <w:pPr>
        <w:snapToGrid w:val="0"/>
        <w:spacing w:line="360" w:lineRule="auto"/>
        <w:jc w:val="center"/>
        <w:rPr>
          <w:rFonts w:ascii="宋体" w:hAnsi="宋体"/>
          <w:b/>
          <w:sz w:val="28"/>
          <w:szCs w:val="30"/>
        </w:rPr>
      </w:pPr>
    </w:p>
    <w:p>
      <w:pPr>
        <w:snapToGrid w:val="0"/>
        <w:spacing w:line="360" w:lineRule="auto"/>
        <w:rPr>
          <w:rFonts w:ascii="宋体" w:hAnsi="宋体"/>
          <w:sz w:val="22"/>
        </w:rPr>
      </w:pPr>
      <w:r>
        <w:rPr>
          <w:rFonts w:hint="eastAsia" w:ascii="宋体" w:hAnsi="宋体"/>
          <w:sz w:val="22"/>
        </w:rPr>
        <w:t>项目编号：</w:t>
      </w:r>
    </w:p>
    <w:tbl>
      <w:tblPr>
        <w:tblStyle w:val="58"/>
        <w:tblW w:w="8522" w:type="dxa"/>
        <w:jc w:val="center"/>
        <w:tblInd w:w="0" w:type="dxa"/>
        <w:tblLayout w:type="fixed"/>
        <w:tblCellMar>
          <w:top w:w="0" w:type="dxa"/>
          <w:left w:w="108" w:type="dxa"/>
          <w:bottom w:w="0" w:type="dxa"/>
          <w:right w:w="108" w:type="dxa"/>
        </w:tblCellMar>
      </w:tblPr>
      <w:tblGrid>
        <w:gridCol w:w="794"/>
        <w:gridCol w:w="1606"/>
        <w:gridCol w:w="1597"/>
        <w:gridCol w:w="1198"/>
        <w:gridCol w:w="1730"/>
        <w:gridCol w:w="1597"/>
      </w:tblGrid>
      <w:tr>
        <w:tblPrEx>
          <w:tblLayout w:type="fixed"/>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sz w:val="20"/>
                <w:szCs w:val="21"/>
                <w:lang w:val="zh-CN"/>
              </w:rPr>
            </w:pPr>
            <w:r>
              <w:rPr>
                <w:rFonts w:hint="eastAsia" w:ascii="宋体" w:hAnsi="宋体"/>
                <w:sz w:val="20"/>
                <w:szCs w:val="21"/>
                <w:lang w:val="zh-CN"/>
              </w:rPr>
              <w:t>年度</w:t>
            </w:r>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sz w:val="20"/>
                <w:szCs w:val="21"/>
                <w:lang w:val="zh-CN"/>
              </w:rPr>
            </w:pPr>
            <w:r>
              <w:rPr>
                <w:rFonts w:hint="eastAsia" w:ascii="宋体" w:hAnsi="宋体"/>
                <w:sz w:val="20"/>
                <w:szCs w:val="21"/>
                <w:lang w:val="zh-CN"/>
              </w:rPr>
              <w:t>项目建设单位</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sz w:val="20"/>
                <w:szCs w:val="21"/>
                <w:lang w:val="zh-CN"/>
              </w:rPr>
            </w:pPr>
            <w:r>
              <w:rPr>
                <w:rFonts w:hint="eastAsia" w:ascii="宋体" w:hAnsi="宋体"/>
                <w:sz w:val="20"/>
                <w:szCs w:val="21"/>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sz w:val="20"/>
                <w:szCs w:val="21"/>
                <w:lang w:val="zh-CN"/>
              </w:rPr>
            </w:pPr>
            <w:r>
              <w:rPr>
                <w:rFonts w:hint="eastAsia" w:ascii="宋体" w:hAnsi="宋体"/>
                <w:sz w:val="20"/>
                <w:szCs w:val="21"/>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rFonts w:ascii="宋体" w:hAnsi="宋体"/>
                <w:sz w:val="20"/>
                <w:szCs w:val="21"/>
                <w:lang w:val="zh-CN"/>
              </w:rPr>
            </w:pPr>
            <w:r>
              <w:rPr>
                <w:rFonts w:hint="eastAsia" w:ascii="宋体" w:hAnsi="宋体"/>
                <w:sz w:val="20"/>
                <w:szCs w:val="21"/>
                <w:lang w:val="zh-CN"/>
              </w:rPr>
              <w:t xml:space="preserve">  单位地址     </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rPr>
                <w:rFonts w:ascii="宋体" w:hAnsi="宋体"/>
                <w:sz w:val="20"/>
                <w:szCs w:val="21"/>
                <w:lang w:val="zh-CN"/>
              </w:rPr>
            </w:pPr>
            <w:r>
              <w:rPr>
                <w:rFonts w:hint="eastAsia" w:ascii="宋体" w:hAnsi="宋体"/>
                <w:sz w:val="20"/>
                <w:szCs w:val="21"/>
                <w:lang w:val="zh-CN"/>
              </w:rPr>
              <w:t xml:space="preserve">      联系电话</w:t>
            </w:r>
          </w:p>
        </w:tc>
      </w:tr>
      <w:tr>
        <w:tblPrEx>
          <w:tblLayout w:type="fixed"/>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sz w:val="20"/>
                <w:szCs w:val="21"/>
              </w:rPr>
            </w:pPr>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sz w:val="20"/>
                <w:szCs w:val="21"/>
              </w:rPr>
            </w:pP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sz w:val="20"/>
                <w:szCs w:val="21"/>
              </w:rPr>
            </w:pP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rFonts w:ascii="宋体" w:hAnsi="宋体"/>
                <w:sz w:val="20"/>
                <w:szCs w:val="21"/>
              </w:rPr>
            </w:pPr>
          </w:p>
        </w:tc>
      </w:tr>
      <w:tr>
        <w:tblPrEx>
          <w:tblLayout w:type="fixed"/>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r>
      <w:tr>
        <w:tblPrEx>
          <w:tblLayout w:type="fixed"/>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r>
      <w:tr>
        <w:tblPrEx>
          <w:tblLayout w:type="fixed"/>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r>
      <w:tr>
        <w:tblPrEx>
          <w:tblLayout w:type="fixed"/>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r>
      <w:tr>
        <w:tblPrEx>
          <w:tblLayout w:type="fixed"/>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r>
      <w:tr>
        <w:tblPrEx>
          <w:tblLayout w:type="fixed"/>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r>
      <w:tr>
        <w:tblPrEx>
          <w:tblLayout w:type="fixed"/>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r>
      <w:tr>
        <w:tblPrEx>
          <w:tblLayout w:type="fixed"/>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sz w:val="20"/>
                <w:szCs w:val="21"/>
              </w:rPr>
            </w:pPr>
          </w:p>
        </w:tc>
      </w:tr>
    </w:tbl>
    <w:p>
      <w:pPr>
        <w:tabs>
          <w:tab w:val="left" w:pos="9765"/>
        </w:tabs>
        <w:autoSpaceDE w:val="0"/>
        <w:autoSpaceDN w:val="0"/>
        <w:adjustRightInd w:val="0"/>
        <w:snapToGrid w:val="0"/>
        <w:spacing w:line="360" w:lineRule="auto"/>
        <w:ind w:firstLine="315"/>
        <w:rPr>
          <w:rFonts w:ascii="宋体" w:hAnsi="宋体"/>
          <w:sz w:val="20"/>
          <w:szCs w:val="21"/>
        </w:rPr>
      </w:pPr>
      <w:r>
        <w:rPr>
          <w:rFonts w:hint="eastAsia" w:ascii="宋体" w:hAnsi="宋体"/>
          <w:sz w:val="20"/>
          <w:szCs w:val="21"/>
          <w:lang w:val="zh-CN"/>
        </w:rPr>
        <w:t>注：附合同复印件、验收报告或用户使用意见书。</w:t>
      </w:r>
    </w:p>
    <w:p>
      <w:pPr>
        <w:snapToGrid w:val="0"/>
        <w:spacing w:line="360" w:lineRule="auto"/>
        <w:rPr>
          <w:rFonts w:ascii="宋体" w:hAnsi="宋体"/>
          <w:sz w:val="22"/>
        </w:rPr>
      </w:pPr>
    </w:p>
    <w:p>
      <w:pPr>
        <w:widowControl/>
        <w:snapToGrid w:val="0"/>
        <w:spacing w:line="360" w:lineRule="auto"/>
        <w:rPr>
          <w:rFonts w:ascii="宋体" w:hAnsi="宋体" w:cs="Arial"/>
          <w:kern w:val="0"/>
          <w:sz w:val="24"/>
        </w:rPr>
      </w:pPr>
      <w:r>
        <w:rPr>
          <w:rFonts w:hint="eastAsia" w:ascii="宋体" w:hAnsi="宋体" w:cs="Arial"/>
          <w:kern w:val="0"/>
          <w:sz w:val="24"/>
        </w:rPr>
        <w:t>供应商名称（公章）：</w:t>
      </w:r>
    </w:p>
    <w:p>
      <w:pPr>
        <w:snapToGrid w:val="0"/>
        <w:spacing w:line="360" w:lineRule="auto"/>
        <w:rPr>
          <w:rFonts w:ascii="宋体" w:hAnsi="宋体"/>
          <w:sz w:val="20"/>
          <w:szCs w:val="20"/>
        </w:rPr>
      </w:pPr>
      <w:r>
        <w:rPr>
          <w:rFonts w:hint="eastAsia" w:ascii="宋体" w:hAnsi="宋体"/>
          <w:sz w:val="24"/>
        </w:rPr>
        <w:t>法定代表人或代理人（签字或盖章）：</w:t>
      </w:r>
    </w:p>
    <w:p>
      <w:pPr>
        <w:snapToGrid w:val="0"/>
        <w:spacing w:line="360" w:lineRule="auto"/>
        <w:rPr>
          <w:rFonts w:ascii="宋体" w:hAnsi="宋体"/>
          <w:sz w:val="22"/>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pStyle w:val="3"/>
        <w:numPr>
          <w:ilvl w:val="0"/>
          <w:numId w:val="0"/>
        </w:numPr>
        <w:snapToGrid w:val="0"/>
        <w:spacing w:line="360" w:lineRule="auto"/>
        <w:rPr>
          <w:rFonts w:ascii="宋体" w:hAnsi="宋体" w:eastAsia="宋体"/>
          <w:b/>
          <w:bCs/>
          <w:sz w:val="24"/>
        </w:rPr>
      </w:pPr>
      <w:r>
        <w:rPr>
          <w:rFonts w:hint="eastAsia" w:ascii="宋体" w:hAnsi="宋体" w:eastAsia="宋体"/>
          <w:b/>
          <w:bCs/>
          <w:sz w:val="24"/>
        </w:rPr>
        <w:t>附件七：</w:t>
      </w:r>
    </w:p>
    <w:p>
      <w:pPr>
        <w:spacing w:line="360" w:lineRule="auto"/>
        <w:jc w:val="center"/>
        <w:rPr>
          <w:rFonts w:ascii="宋体" w:hAnsi="宋体"/>
          <w:b/>
          <w:sz w:val="32"/>
          <w:szCs w:val="32"/>
        </w:rPr>
      </w:pPr>
      <w:r>
        <w:rPr>
          <w:rFonts w:hint="eastAsia" w:ascii="宋体" w:hAnsi="宋体"/>
          <w:b/>
          <w:sz w:val="32"/>
          <w:szCs w:val="32"/>
        </w:rPr>
        <w:t>技术参数（或服务要求标准）偏离表</w:t>
      </w:r>
    </w:p>
    <w:tbl>
      <w:tblPr>
        <w:tblStyle w:val="58"/>
        <w:tblW w:w="8157" w:type="dxa"/>
        <w:jc w:val="center"/>
        <w:tblInd w:w="0" w:type="dxa"/>
        <w:tblLayout w:type="fixed"/>
        <w:tblCellMar>
          <w:top w:w="0" w:type="dxa"/>
          <w:left w:w="108" w:type="dxa"/>
          <w:bottom w:w="0" w:type="dxa"/>
          <w:right w:w="108" w:type="dxa"/>
        </w:tblCellMar>
      </w:tblPr>
      <w:tblGrid>
        <w:gridCol w:w="2411"/>
        <w:gridCol w:w="2158"/>
        <w:gridCol w:w="2100"/>
        <w:gridCol w:w="1488"/>
      </w:tblGrid>
      <w:tr>
        <w:tblPrEx>
          <w:tblLayout w:type="fixed"/>
          <w:tblCellMar>
            <w:top w:w="0" w:type="dxa"/>
            <w:left w:w="108" w:type="dxa"/>
            <w:bottom w:w="0" w:type="dxa"/>
            <w:right w:w="108" w:type="dxa"/>
          </w:tblCellMar>
        </w:tblPrEx>
        <w:trPr>
          <w:jc w:val="center"/>
        </w:trPr>
        <w:tc>
          <w:tcPr>
            <w:tcW w:w="2411" w:type="dxa"/>
            <w:tcBorders>
              <w:top w:val="single" w:color="auto" w:sz="6" w:space="0"/>
              <w:left w:val="single" w:color="auto" w:sz="6" w:space="0"/>
              <w:bottom w:val="single" w:color="auto" w:sz="6" w:space="0"/>
              <w:right w:val="single" w:color="auto" w:sz="6" w:space="0"/>
            </w:tcBorders>
          </w:tcPr>
          <w:p>
            <w:pPr>
              <w:keepNext/>
              <w:autoSpaceDE w:val="0"/>
              <w:autoSpaceDN w:val="0"/>
              <w:adjustRightInd w:val="0"/>
              <w:snapToGrid w:val="0"/>
              <w:spacing w:line="360" w:lineRule="auto"/>
              <w:jc w:val="center"/>
              <w:rPr>
                <w:rFonts w:ascii="宋体" w:hAnsi="宋体"/>
                <w:b/>
                <w:bCs/>
                <w:sz w:val="24"/>
                <w:szCs w:val="28"/>
                <w:lang w:val="zh-CN"/>
              </w:rPr>
            </w:pPr>
            <w:r>
              <w:rPr>
                <w:rFonts w:hint="eastAsia" w:ascii="宋体" w:hAnsi="宋体"/>
                <w:b/>
                <w:bCs/>
                <w:sz w:val="24"/>
                <w:szCs w:val="28"/>
                <w:lang w:val="zh-CN"/>
              </w:rPr>
              <w:t>设备名称</w:t>
            </w:r>
          </w:p>
        </w:tc>
        <w:tc>
          <w:tcPr>
            <w:tcW w:w="2158" w:type="dxa"/>
            <w:tcBorders>
              <w:top w:val="single" w:color="auto" w:sz="6" w:space="0"/>
              <w:left w:val="single" w:color="auto" w:sz="6" w:space="0"/>
              <w:bottom w:val="single" w:color="auto" w:sz="6" w:space="0"/>
              <w:right w:val="single" w:color="auto" w:sz="6" w:space="0"/>
            </w:tcBorders>
          </w:tcPr>
          <w:p>
            <w:pPr>
              <w:keepNext/>
              <w:autoSpaceDE w:val="0"/>
              <w:autoSpaceDN w:val="0"/>
              <w:adjustRightInd w:val="0"/>
              <w:snapToGrid w:val="0"/>
              <w:spacing w:line="360" w:lineRule="auto"/>
              <w:jc w:val="center"/>
              <w:rPr>
                <w:rFonts w:ascii="宋体" w:hAnsi="宋体"/>
                <w:b/>
                <w:bCs/>
                <w:sz w:val="24"/>
                <w:szCs w:val="28"/>
                <w:lang w:val="zh-CN"/>
              </w:rPr>
            </w:pPr>
            <w:r>
              <w:rPr>
                <w:rFonts w:hint="eastAsia" w:ascii="宋体" w:hAnsi="宋体"/>
                <w:b/>
                <w:bCs/>
                <w:sz w:val="24"/>
                <w:szCs w:val="28"/>
                <w:lang w:val="zh-CN"/>
              </w:rPr>
              <w:t>标书要求参数</w:t>
            </w:r>
          </w:p>
        </w:tc>
        <w:tc>
          <w:tcPr>
            <w:tcW w:w="2100" w:type="dxa"/>
            <w:tcBorders>
              <w:top w:val="single" w:color="auto" w:sz="6" w:space="0"/>
              <w:left w:val="single" w:color="auto" w:sz="6" w:space="0"/>
              <w:bottom w:val="single" w:color="auto" w:sz="6" w:space="0"/>
              <w:right w:val="single" w:color="auto" w:sz="6" w:space="0"/>
            </w:tcBorders>
          </w:tcPr>
          <w:p>
            <w:pPr>
              <w:keepNext/>
              <w:autoSpaceDE w:val="0"/>
              <w:autoSpaceDN w:val="0"/>
              <w:adjustRightInd w:val="0"/>
              <w:snapToGrid w:val="0"/>
              <w:spacing w:line="360" w:lineRule="auto"/>
              <w:jc w:val="center"/>
              <w:rPr>
                <w:rFonts w:ascii="宋体" w:hAnsi="宋体"/>
                <w:b/>
                <w:bCs/>
                <w:sz w:val="24"/>
                <w:szCs w:val="28"/>
                <w:lang w:val="zh-CN"/>
              </w:rPr>
            </w:pPr>
            <w:r>
              <w:rPr>
                <w:rFonts w:hint="eastAsia" w:ascii="宋体" w:hAnsi="宋体"/>
                <w:b/>
                <w:bCs/>
                <w:sz w:val="24"/>
                <w:szCs w:val="28"/>
                <w:lang w:val="zh-CN"/>
              </w:rPr>
              <w:t>投标设备参数</w:t>
            </w:r>
          </w:p>
        </w:tc>
        <w:tc>
          <w:tcPr>
            <w:tcW w:w="1488" w:type="dxa"/>
            <w:tcBorders>
              <w:top w:val="single" w:color="auto" w:sz="6" w:space="0"/>
              <w:left w:val="single" w:color="auto" w:sz="6" w:space="0"/>
              <w:bottom w:val="single" w:color="auto" w:sz="6" w:space="0"/>
              <w:right w:val="single" w:color="auto" w:sz="6" w:space="0"/>
            </w:tcBorders>
          </w:tcPr>
          <w:p>
            <w:pPr>
              <w:keepNext/>
              <w:autoSpaceDE w:val="0"/>
              <w:autoSpaceDN w:val="0"/>
              <w:adjustRightInd w:val="0"/>
              <w:snapToGrid w:val="0"/>
              <w:spacing w:line="360" w:lineRule="auto"/>
              <w:jc w:val="center"/>
              <w:rPr>
                <w:rFonts w:ascii="宋体" w:hAnsi="宋体"/>
                <w:b/>
                <w:bCs/>
                <w:sz w:val="24"/>
                <w:szCs w:val="28"/>
                <w:lang w:val="zh-CN"/>
              </w:rPr>
            </w:pPr>
            <w:r>
              <w:rPr>
                <w:rFonts w:hint="eastAsia" w:ascii="宋体" w:hAnsi="宋体"/>
                <w:b/>
                <w:bCs/>
                <w:sz w:val="24"/>
                <w:szCs w:val="28"/>
                <w:lang w:val="zh-CN"/>
              </w:rPr>
              <w:t>偏离值</w:t>
            </w:r>
          </w:p>
        </w:tc>
      </w:tr>
      <w:tr>
        <w:tblPrEx>
          <w:tblLayout w:type="fixed"/>
          <w:tblCellMar>
            <w:top w:w="0" w:type="dxa"/>
            <w:left w:w="108" w:type="dxa"/>
            <w:bottom w:w="0" w:type="dxa"/>
            <w:right w:w="108" w:type="dxa"/>
          </w:tblCellMar>
        </w:tblPrEx>
        <w:trPr>
          <w:trHeight w:val="511"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r>
      <w:tr>
        <w:tblPrEx>
          <w:tblLayout w:type="fixed"/>
          <w:tblCellMar>
            <w:top w:w="0" w:type="dxa"/>
            <w:left w:w="108" w:type="dxa"/>
            <w:bottom w:w="0" w:type="dxa"/>
            <w:right w:w="108" w:type="dxa"/>
          </w:tblCellMar>
        </w:tblPrEx>
        <w:trPr>
          <w:trHeight w:val="460"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r>
      <w:tr>
        <w:tblPrEx>
          <w:tblLayout w:type="fixed"/>
          <w:tblCellMar>
            <w:top w:w="0" w:type="dxa"/>
            <w:left w:w="108" w:type="dxa"/>
            <w:bottom w:w="0" w:type="dxa"/>
            <w:right w:w="108" w:type="dxa"/>
          </w:tblCellMar>
        </w:tblPrEx>
        <w:trPr>
          <w:trHeight w:val="435"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r>
      <w:tr>
        <w:tblPrEx>
          <w:tblLayout w:type="fixed"/>
          <w:tblCellMar>
            <w:top w:w="0" w:type="dxa"/>
            <w:left w:w="108" w:type="dxa"/>
            <w:bottom w:w="0" w:type="dxa"/>
            <w:right w:w="108" w:type="dxa"/>
          </w:tblCellMar>
        </w:tblPrEx>
        <w:trPr>
          <w:trHeight w:val="460"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r>
      <w:tr>
        <w:tblPrEx>
          <w:tblLayout w:type="fixed"/>
          <w:tblCellMar>
            <w:top w:w="0" w:type="dxa"/>
            <w:left w:w="108" w:type="dxa"/>
            <w:bottom w:w="0" w:type="dxa"/>
            <w:right w:w="108" w:type="dxa"/>
          </w:tblCellMar>
        </w:tblPrEx>
        <w:trPr>
          <w:trHeight w:val="452"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r>
      <w:tr>
        <w:tblPrEx>
          <w:tblLayout w:type="fixed"/>
          <w:tblCellMar>
            <w:top w:w="0" w:type="dxa"/>
            <w:left w:w="108" w:type="dxa"/>
            <w:bottom w:w="0" w:type="dxa"/>
            <w:right w:w="108" w:type="dxa"/>
          </w:tblCellMar>
        </w:tblPrEx>
        <w:trPr>
          <w:trHeight w:val="457"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r>
      <w:tr>
        <w:tblPrEx>
          <w:tblLayout w:type="fixed"/>
          <w:tblCellMar>
            <w:top w:w="0" w:type="dxa"/>
            <w:left w:w="108" w:type="dxa"/>
            <w:bottom w:w="0" w:type="dxa"/>
            <w:right w:w="108" w:type="dxa"/>
          </w:tblCellMar>
        </w:tblPrEx>
        <w:trPr>
          <w:trHeight w:val="449"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r>
      <w:tr>
        <w:tblPrEx>
          <w:tblLayout w:type="fixed"/>
          <w:tblCellMar>
            <w:top w:w="0" w:type="dxa"/>
            <w:left w:w="108" w:type="dxa"/>
            <w:bottom w:w="0" w:type="dxa"/>
            <w:right w:w="108" w:type="dxa"/>
          </w:tblCellMar>
        </w:tblPrEx>
        <w:trPr>
          <w:trHeight w:val="456"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r>
      <w:tr>
        <w:tblPrEx>
          <w:tblLayout w:type="fixed"/>
          <w:tblCellMar>
            <w:top w:w="0" w:type="dxa"/>
            <w:left w:w="108" w:type="dxa"/>
            <w:bottom w:w="0" w:type="dxa"/>
            <w:right w:w="108" w:type="dxa"/>
          </w:tblCellMar>
        </w:tblPrEx>
        <w:trPr>
          <w:trHeight w:val="292"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5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sz w:val="20"/>
                <w:lang w:val="zh-CN"/>
              </w:rPr>
            </w:pPr>
          </w:p>
        </w:tc>
      </w:tr>
    </w:tbl>
    <w:p>
      <w:pPr>
        <w:widowControl/>
        <w:snapToGrid w:val="0"/>
        <w:spacing w:line="360" w:lineRule="auto"/>
        <w:rPr>
          <w:rFonts w:ascii="宋体" w:hAnsi="宋体" w:cs="Arial"/>
          <w:kern w:val="0"/>
          <w:sz w:val="24"/>
        </w:rPr>
      </w:pPr>
      <w:r>
        <w:rPr>
          <w:rFonts w:hint="eastAsia" w:ascii="宋体" w:hAnsi="宋体" w:cs="Arial"/>
          <w:kern w:val="0"/>
          <w:sz w:val="24"/>
        </w:rPr>
        <w:t>供应商名称（公章）：</w:t>
      </w:r>
    </w:p>
    <w:p>
      <w:pPr>
        <w:snapToGrid w:val="0"/>
        <w:spacing w:line="360" w:lineRule="auto"/>
        <w:rPr>
          <w:rFonts w:ascii="宋体" w:hAnsi="宋体"/>
          <w:sz w:val="20"/>
          <w:szCs w:val="20"/>
        </w:rPr>
      </w:pPr>
      <w:r>
        <w:rPr>
          <w:rFonts w:hint="eastAsia" w:ascii="宋体" w:hAnsi="宋体"/>
          <w:sz w:val="24"/>
        </w:rPr>
        <w:t>法定代表人或代理人（签字或盖章）：</w:t>
      </w:r>
    </w:p>
    <w:p>
      <w:pPr>
        <w:snapToGrid w:val="0"/>
        <w:spacing w:line="360" w:lineRule="auto"/>
        <w:rPr>
          <w:rFonts w:ascii="宋体" w:hAnsi="宋体"/>
          <w:sz w:val="24"/>
          <w:szCs w:val="28"/>
        </w:rPr>
      </w:pPr>
    </w:p>
    <w:p>
      <w:pPr>
        <w:adjustRightInd w:val="0"/>
        <w:snapToGrid w:val="0"/>
        <w:spacing w:line="360" w:lineRule="auto"/>
        <w:rPr>
          <w:rFonts w:ascii="宋体" w:hAnsi="宋体"/>
          <w:color w:val="FF0000"/>
          <w:sz w:val="24"/>
        </w:rPr>
      </w:pPr>
      <w:r>
        <w:rPr>
          <w:rFonts w:hint="eastAsia" w:ascii="宋体" w:hAnsi="宋体"/>
          <w:sz w:val="24"/>
        </w:rPr>
        <w:t>注：</w:t>
      </w:r>
      <w:r>
        <w:rPr>
          <w:rFonts w:hint="eastAsia" w:ascii="宋体" w:hAnsi="宋体"/>
          <w:sz w:val="24"/>
          <w:lang w:val="zh-CN"/>
        </w:rPr>
        <w:t>请各位供应商按照以下表格形式逐项应答配置要求内容，在</w:t>
      </w:r>
      <w:r>
        <w:rPr>
          <w:rFonts w:hint="eastAsia" w:ascii="宋体" w:hAnsi="宋体"/>
          <w:sz w:val="24"/>
        </w:rPr>
        <w:t>偏离值一栏内如实填写“无偏离、正偏离或负偏离”，货物类项目提供投标产品的彩页/样本/技术资料等。</w:t>
      </w:r>
    </w:p>
    <w:p>
      <w:pPr>
        <w:autoSpaceDE w:val="0"/>
        <w:autoSpaceDN w:val="0"/>
        <w:adjustRightInd w:val="0"/>
        <w:snapToGrid w:val="0"/>
        <w:spacing w:line="360" w:lineRule="auto"/>
        <w:ind w:firstLine="440" w:firstLineChars="200"/>
        <w:rPr>
          <w:rFonts w:ascii="宋体" w:hAnsi="宋体"/>
          <w:sz w:val="22"/>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pStyle w:val="3"/>
        <w:numPr>
          <w:ilvl w:val="0"/>
          <w:numId w:val="0"/>
        </w:numPr>
        <w:snapToGrid w:val="0"/>
        <w:spacing w:line="360" w:lineRule="auto"/>
        <w:rPr>
          <w:rFonts w:ascii="宋体" w:hAnsi="宋体" w:eastAsia="宋体"/>
          <w:b/>
          <w:bCs/>
          <w:sz w:val="24"/>
        </w:rPr>
      </w:pPr>
      <w:r>
        <w:rPr>
          <w:rFonts w:hint="eastAsia" w:ascii="宋体" w:hAnsi="宋体" w:eastAsia="宋体"/>
          <w:b/>
          <w:bCs/>
          <w:sz w:val="24"/>
        </w:rPr>
        <w:t>附件九：</w:t>
      </w:r>
    </w:p>
    <w:p>
      <w:pPr>
        <w:spacing w:line="360" w:lineRule="auto"/>
        <w:jc w:val="center"/>
        <w:rPr>
          <w:rFonts w:ascii="宋体" w:hAnsi="宋体"/>
          <w:b/>
          <w:sz w:val="32"/>
          <w:szCs w:val="32"/>
        </w:rPr>
      </w:pPr>
      <w:r>
        <w:rPr>
          <w:rFonts w:hint="eastAsia" w:ascii="宋体" w:hAnsi="宋体"/>
          <w:b/>
          <w:sz w:val="32"/>
          <w:szCs w:val="32"/>
        </w:rPr>
        <w:t>合同主要条款</w:t>
      </w:r>
    </w:p>
    <w:p>
      <w:pPr>
        <w:pStyle w:val="30"/>
        <w:ind w:firstLine="240" w:firstLineChars="100"/>
        <w:rPr>
          <w:rFonts w:hAnsi="宋体"/>
          <w:sz w:val="24"/>
          <w:szCs w:val="24"/>
        </w:rPr>
      </w:pPr>
      <w:r>
        <w:rPr>
          <w:rFonts w:hint="eastAsia" w:hAnsi="宋体"/>
          <w:sz w:val="24"/>
          <w:szCs w:val="24"/>
        </w:rPr>
        <w:t>甲方:</w:t>
      </w:r>
      <w:r>
        <w:rPr>
          <w:rFonts w:hint="eastAsia" w:hAnsi="宋体"/>
          <w:b/>
          <w:sz w:val="24"/>
          <w:szCs w:val="24"/>
        </w:rPr>
        <w:t xml:space="preserve">     合同编号：</w:t>
      </w:r>
    </w:p>
    <w:p>
      <w:pPr>
        <w:pStyle w:val="30"/>
        <w:ind w:firstLine="240" w:firstLineChars="100"/>
        <w:rPr>
          <w:rFonts w:hAnsi="宋体"/>
          <w:sz w:val="24"/>
          <w:szCs w:val="24"/>
          <w:u w:val="single"/>
        </w:rPr>
      </w:pPr>
      <w:r>
        <w:rPr>
          <w:rFonts w:hint="eastAsia" w:hAnsi="宋体"/>
          <w:sz w:val="24"/>
          <w:szCs w:val="24"/>
        </w:rPr>
        <w:t>乙方: 签订地点：</w:t>
      </w:r>
    </w:p>
    <w:p>
      <w:pPr>
        <w:pStyle w:val="30"/>
        <w:ind w:firstLine="240" w:firstLineChars="100"/>
        <w:rPr>
          <w:rFonts w:hAnsi="宋体"/>
          <w:sz w:val="24"/>
          <w:szCs w:val="24"/>
          <w:u w:val="single"/>
        </w:rPr>
      </w:pPr>
      <w:r>
        <w:rPr>
          <w:rFonts w:hint="eastAsia" w:hAnsi="宋体"/>
          <w:sz w:val="24"/>
          <w:szCs w:val="24"/>
        </w:rPr>
        <w:t xml:space="preserve">合同时间: </w:t>
      </w:r>
      <w:r>
        <w:rPr>
          <w:rFonts w:hint="eastAsia" w:hAnsi="宋体"/>
          <w:sz w:val="24"/>
          <w:szCs w:val="24"/>
          <w:u w:val="single"/>
        </w:rPr>
        <w:t>2018年    月    日</w:t>
      </w:r>
    </w:p>
    <w:p>
      <w:pPr>
        <w:ind w:firstLine="480" w:firstLineChars="200"/>
        <w:rPr>
          <w:rFonts w:ascii="宋体" w:hAnsi="宋体"/>
          <w:sz w:val="24"/>
        </w:rPr>
      </w:pPr>
      <w:r>
        <w:rPr>
          <w:rFonts w:hint="eastAsia" w:ascii="宋体" w:hAnsi="宋体"/>
          <w:sz w:val="24"/>
        </w:rPr>
        <w:t>经公开招标，就对</w:t>
      </w:r>
      <w:r>
        <w:rPr>
          <w:rFonts w:hint="eastAsia" w:ascii="宋体" w:hAnsi="宋体" w:cs="宋体"/>
          <w:bCs/>
          <w:kern w:val="0"/>
          <w:sz w:val="24"/>
        </w:rPr>
        <w:t>常州市连城管道网络有限公司的“</w:t>
      </w:r>
      <w:r>
        <w:rPr>
          <w:rFonts w:hint="eastAsia" w:ascii="宋体" w:hAnsi="宋体"/>
          <w:color w:val="000000"/>
          <w:sz w:val="24"/>
        </w:rPr>
        <w:t>机电设备</w:t>
      </w:r>
      <w:r>
        <w:rPr>
          <w:rFonts w:hint="eastAsia" w:ascii="宋体" w:hAnsi="宋体"/>
          <w:bCs/>
          <w:color w:val="000000"/>
          <w:sz w:val="24"/>
        </w:rPr>
        <w:t>维修及定期保养</w:t>
      </w:r>
      <w:r>
        <w:rPr>
          <w:rFonts w:hint="eastAsia" w:ascii="宋体" w:hAnsi="宋体" w:cs="宋体"/>
          <w:bCs/>
          <w:kern w:val="0"/>
          <w:sz w:val="24"/>
        </w:rPr>
        <w:t>”</w:t>
      </w:r>
      <w:r>
        <w:rPr>
          <w:rFonts w:hint="eastAsia" w:ascii="宋体" w:hAnsi="宋体"/>
          <w:sz w:val="24"/>
        </w:rPr>
        <w:t>，甲、乙双方同意按下述条款和条件签订本合同（以下简称“合同”）。</w:t>
      </w:r>
    </w:p>
    <w:p>
      <w:pPr>
        <w:ind w:firstLine="482" w:firstLineChars="200"/>
        <w:outlineLvl w:val="0"/>
        <w:rPr>
          <w:rFonts w:ascii="宋体" w:hAnsi="宋体"/>
          <w:b/>
          <w:sz w:val="24"/>
        </w:rPr>
      </w:pPr>
      <w:bookmarkStart w:id="107" w:name="_Toc439840083"/>
      <w:r>
        <w:rPr>
          <w:rFonts w:hint="eastAsia" w:ascii="宋体" w:hAnsi="宋体"/>
          <w:b/>
          <w:sz w:val="24"/>
        </w:rPr>
        <w:t>一、合同文件</w:t>
      </w:r>
      <w:bookmarkEnd w:id="107"/>
    </w:p>
    <w:p>
      <w:pPr>
        <w:ind w:firstLine="482" w:firstLineChars="200"/>
        <w:outlineLvl w:val="0"/>
        <w:rPr>
          <w:rFonts w:ascii="宋体" w:hAnsi="宋体"/>
          <w:b/>
          <w:sz w:val="24"/>
        </w:rPr>
      </w:pPr>
      <w:bookmarkStart w:id="108" w:name="_Toc439840084"/>
      <w:r>
        <w:rPr>
          <w:rFonts w:hint="eastAsia" w:ascii="宋体" w:hAnsi="宋体"/>
          <w:b/>
          <w:sz w:val="24"/>
        </w:rPr>
        <w:t>1．定义</w:t>
      </w:r>
      <w:bookmarkEnd w:id="108"/>
    </w:p>
    <w:p>
      <w:pPr>
        <w:ind w:firstLine="480" w:firstLineChars="200"/>
        <w:rPr>
          <w:rFonts w:ascii="宋体" w:hAnsi="宋体"/>
          <w:sz w:val="24"/>
        </w:rPr>
      </w:pPr>
      <w:r>
        <w:rPr>
          <w:rFonts w:hint="eastAsia" w:ascii="宋体" w:hAnsi="宋体"/>
          <w:sz w:val="24"/>
        </w:rPr>
        <w:t xml:space="preserve">本合同中的下列术语应解释为：                                                                                                                                                                                                                                                                                                                                                                                                                                                                                                </w:t>
      </w:r>
    </w:p>
    <w:p>
      <w:pPr>
        <w:ind w:firstLine="480" w:firstLineChars="200"/>
        <w:rPr>
          <w:rFonts w:ascii="宋体" w:hAnsi="宋体"/>
          <w:sz w:val="24"/>
        </w:rPr>
      </w:pPr>
      <w:r>
        <w:rPr>
          <w:rFonts w:hint="eastAsia" w:ascii="宋体" w:hAnsi="宋体"/>
          <w:sz w:val="24"/>
        </w:rPr>
        <w:t>（1）“合同”系指甲方与乙方共同签署并经集中采购机构鉴证的，合同格式中载明的甲方与乙方所达成的协议，包括合同变更、补充协议、附件、附录和构成合同的所有文件。</w:t>
      </w:r>
    </w:p>
    <w:p>
      <w:pPr>
        <w:ind w:firstLine="480" w:firstLineChars="200"/>
        <w:rPr>
          <w:rFonts w:ascii="宋体" w:hAnsi="宋体"/>
          <w:sz w:val="24"/>
        </w:rPr>
      </w:pPr>
      <w:r>
        <w:rPr>
          <w:rFonts w:hint="eastAsia" w:ascii="宋体" w:hAnsi="宋体"/>
          <w:sz w:val="24"/>
        </w:rPr>
        <w:t>（2）“甲方”为“招标方”，系指常州市连城管道网络有限公司，简称“处”。</w:t>
      </w:r>
    </w:p>
    <w:p>
      <w:pPr>
        <w:ind w:firstLine="480" w:firstLineChars="200"/>
        <w:rPr>
          <w:rFonts w:ascii="宋体" w:hAnsi="宋体"/>
          <w:sz w:val="24"/>
        </w:rPr>
      </w:pPr>
      <w:r>
        <w:rPr>
          <w:rFonts w:hint="eastAsia" w:ascii="宋体" w:hAnsi="宋体"/>
          <w:sz w:val="24"/>
        </w:rPr>
        <w:t>（3）“乙方”为“承包方”，系指*********有限公司。</w:t>
      </w:r>
    </w:p>
    <w:p>
      <w:pPr>
        <w:ind w:firstLine="480" w:firstLineChars="200"/>
        <w:rPr>
          <w:rFonts w:ascii="宋体" w:hAnsi="宋体"/>
          <w:sz w:val="24"/>
        </w:rPr>
      </w:pPr>
      <w:r>
        <w:rPr>
          <w:rFonts w:hint="eastAsia" w:ascii="宋体" w:hAnsi="宋体"/>
          <w:sz w:val="24"/>
        </w:rPr>
        <w:t>（4）“集中采购机构”为“采购部门”，系指常州中瑞工程造价咨询有限公司。</w:t>
      </w:r>
    </w:p>
    <w:p>
      <w:pPr>
        <w:ind w:firstLine="482" w:firstLineChars="200"/>
        <w:rPr>
          <w:rFonts w:ascii="宋体" w:hAnsi="宋体"/>
          <w:b/>
          <w:sz w:val="24"/>
        </w:rPr>
      </w:pPr>
      <w:r>
        <w:rPr>
          <w:rFonts w:hint="eastAsia" w:ascii="宋体" w:hAnsi="宋体"/>
          <w:b/>
          <w:sz w:val="24"/>
        </w:rPr>
        <w:t>2.合同文件的组成</w:t>
      </w:r>
    </w:p>
    <w:p>
      <w:pPr>
        <w:ind w:firstLine="480" w:firstLineChars="200"/>
        <w:rPr>
          <w:rFonts w:ascii="宋体" w:hAnsi="宋体"/>
          <w:sz w:val="24"/>
        </w:rPr>
      </w:pPr>
      <w:r>
        <w:rPr>
          <w:rFonts w:hint="eastAsia" w:ascii="宋体" w:hAnsi="宋体"/>
          <w:sz w:val="24"/>
        </w:rPr>
        <w:t>合同文件应能互相解释，互为说明，其组成如下：</w:t>
      </w:r>
    </w:p>
    <w:p>
      <w:pPr>
        <w:ind w:firstLine="480" w:firstLineChars="200"/>
        <w:rPr>
          <w:rFonts w:ascii="宋体" w:hAnsi="宋体"/>
          <w:sz w:val="24"/>
        </w:rPr>
      </w:pPr>
      <w:r>
        <w:rPr>
          <w:rFonts w:hint="eastAsia" w:ascii="宋体" w:hAnsi="宋体"/>
          <w:sz w:val="24"/>
        </w:rPr>
        <w:t>1、甲乙双方协商同意的对本合同的变更、补充协议等正式书面文件；</w:t>
      </w:r>
    </w:p>
    <w:p>
      <w:pPr>
        <w:ind w:firstLine="480" w:firstLineChars="200"/>
        <w:rPr>
          <w:rFonts w:ascii="宋体" w:hAnsi="宋体"/>
          <w:sz w:val="24"/>
        </w:rPr>
      </w:pPr>
      <w:r>
        <w:rPr>
          <w:rFonts w:hint="eastAsia" w:ascii="宋体" w:hAnsi="宋体"/>
          <w:sz w:val="24"/>
        </w:rPr>
        <w:t>2、本合同；</w:t>
      </w:r>
    </w:p>
    <w:p>
      <w:pPr>
        <w:ind w:firstLine="480" w:firstLineChars="200"/>
        <w:rPr>
          <w:rFonts w:ascii="宋体" w:hAnsi="宋体"/>
          <w:sz w:val="24"/>
        </w:rPr>
      </w:pPr>
      <w:r>
        <w:rPr>
          <w:rFonts w:hint="eastAsia" w:ascii="宋体" w:hAnsi="宋体"/>
          <w:sz w:val="24"/>
        </w:rPr>
        <w:t>3、中标通知书；</w:t>
      </w:r>
    </w:p>
    <w:p>
      <w:pPr>
        <w:ind w:firstLine="480" w:firstLineChars="200"/>
        <w:rPr>
          <w:rFonts w:ascii="宋体" w:hAnsi="宋体"/>
          <w:sz w:val="24"/>
        </w:rPr>
      </w:pPr>
      <w:r>
        <w:rPr>
          <w:rFonts w:hint="eastAsia" w:ascii="宋体" w:hAnsi="宋体"/>
          <w:sz w:val="24"/>
        </w:rPr>
        <w:t>4、招标文件的澄清</w:t>
      </w:r>
      <w:bookmarkStart w:id="109" w:name="OLE_LINK4"/>
      <w:r>
        <w:rPr>
          <w:rFonts w:hint="eastAsia" w:ascii="宋体" w:hAnsi="宋体"/>
          <w:sz w:val="24"/>
        </w:rPr>
        <w:t>与补充</w:t>
      </w:r>
      <w:bookmarkEnd w:id="109"/>
      <w:r>
        <w:rPr>
          <w:rFonts w:hint="eastAsia" w:ascii="宋体" w:hAnsi="宋体"/>
          <w:sz w:val="24"/>
        </w:rPr>
        <w:t>；</w:t>
      </w:r>
    </w:p>
    <w:p>
      <w:pPr>
        <w:ind w:firstLine="480" w:firstLineChars="200"/>
        <w:rPr>
          <w:rFonts w:ascii="宋体" w:hAnsi="宋体"/>
          <w:sz w:val="24"/>
        </w:rPr>
      </w:pPr>
      <w:r>
        <w:rPr>
          <w:rFonts w:hint="eastAsia" w:ascii="宋体" w:hAnsi="宋体"/>
          <w:sz w:val="24"/>
        </w:rPr>
        <w:t>5、招标文件及相关资料；</w:t>
      </w:r>
    </w:p>
    <w:p>
      <w:pPr>
        <w:ind w:firstLine="480" w:firstLineChars="200"/>
        <w:rPr>
          <w:rFonts w:ascii="宋体" w:hAnsi="宋体"/>
          <w:sz w:val="24"/>
        </w:rPr>
      </w:pPr>
      <w:r>
        <w:rPr>
          <w:rFonts w:hint="eastAsia" w:ascii="宋体" w:hAnsi="宋体"/>
          <w:sz w:val="24"/>
        </w:rPr>
        <w:t>6、投标文件的澄清与补充；</w:t>
      </w:r>
    </w:p>
    <w:p>
      <w:pPr>
        <w:widowControl/>
        <w:ind w:firstLine="480" w:firstLineChars="200"/>
        <w:rPr>
          <w:rFonts w:ascii="宋体" w:hAnsi="宋体"/>
          <w:sz w:val="24"/>
        </w:rPr>
      </w:pPr>
      <w:r>
        <w:rPr>
          <w:rFonts w:hint="eastAsia" w:ascii="宋体" w:hAnsi="宋体"/>
          <w:sz w:val="24"/>
        </w:rPr>
        <w:t>7、投标文件及相关资料。</w:t>
      </w:r>
    </w:p>
    <w:p>
      <w:pPr>
        <w:ind w:firstLine="480" w:firstLineChars="200"/>
        <w:rPr>
          <w:rFonts w:ascii="宋体" w:hAnsi="宋体"/>
          <w:sz w:val="24"/>
        </w:rPr>
      </w:pPr>
      <w:r>
        <w:rPr>
          <w:rFonts w:hint="eastAsia" w:ascii="宋体" w:hAnsi="宋体"/>
          <w:sz w:val="24"/>
        </w:rPr>
        <w:t>双方在对该项目合同的执行及理解，应当以上述文件的次序作为有效次序依据。当合同文件出现含糊不清或不相一致，首先依照上述文件的优先次序由双方协商解决；双方经协商不能达成一致的，按本合同第十五条约定的办法解决。</w:t>
      </w:r>
    </w:p>
    <w:p>
      <w:pPr>
        <w:ind w:firstLine="482" w:firstLineChars="200"/>
        <w:rPr>
          <w:rFonts w:ascii="宋体" w:hAnsi="宋体"/>
          <w:b/>
          <w:sz w:val="24"/>
        </w:rPr>
      </w:pPr>
      <w:r>
        <w:rPr>
          <w:rFonts w:hint="eastAsia" w:ascii="宋体" w:hAnsi="宋体"/>
          <w:b/>
          <w:sz w:val="24"/>
        </w:rPr>
        <w:t>3．服务范围</w:t>
      </w:r>
    </w:p>
    <w:p>
      <w:pPr>
        <w:pStyle w:val="24"/>
        <w:ind w:firstLine="480"/>
        <w:rPr>
          <w:rFonts w:ascii="宋体" w:hAnsi="宋体" w:eastAsia="宋体"/>
          <w:sz w:val="24"/>
        </w:rPr>
      </w:pPr>
      <w:r>
        <w:rPr>
          <w:rFonts w:hint="eastAsia" w:ascii="宋体" w:hAnsi="宋体" w:eastAsia="宋体"/>
          <w:sz w:val="24"/>
        </w:rPr>
        <w:t>乙方负责甲方管辖范围内的机电设备的维修及定期保养服务。在合同期内甲方故障维修的范围及数量将不定期按需告知乙方，定期保养服务的范围及数量将在每月28日之前告知乙方。</w:t>
      </w:r>
    </w:p>
    <w:p>
      <w:pPr>
        <w:ind w:firstLine="482" w:firstLineChars="200"/>
        <w:rPr>
          <w:rFonts w:ascii="宋体" w:hAnsi="宋体"/>
          <w:b/>
          <w:bCs/>
          <w:sz w:val="24"/>
        </w:rPr>
      </w:pPr>
      <w:r>
        <w:rPr>
          <w:rFonts w:hint="eastAsia" w:ascii="宋体" w:hAnsi="宋体"/>
          <w:b/>
          <w:sz w:val="24"/>
        </w:rPr>
        <w:t>4．</w:t>
      </w:r>
      <w:r>
        <w:rPr>
          <w:rFonts w:hint="eastAsia" w:ascii="宋体" w:hAnsi="宋体"/>
          <w:b/>
          <w:bCs/>
          <w:sz w:val="24"/>
        </w:rPr>
        <w:t>价格的确定</w:t>
      </w:r>
    </w:p>
    <w:p>
      <w:pPr>
        <w:ind w:firstLine="480" w:firstLineChars="200"/>
        <w:rPr>
          <w:rFonts w:ascii="宋体" w:hAnsi="宋体"/>
          <w:sz w:val="24"/>
        </w:rPr>
      </w:pPr>
      <w:r>
        <w:rPr>
          <w:rFonts w:hint="eastAsia" w:ascii="宋体" w:hAnsi="宋体"/>
          <w:sz w:val="24"/>
        </w:rPr>
        <w:t>4.1机电设备维修、保养的各项单价按乙方中标单价执行，每项单价均按照招标文件清单中的基准定价乘以中标人承诺优惠比例计算。</w:t>
      </w:r>
    </w:p>
    <w:p>
      <w:pPr>
        <w:ind w:firstLine="480" w:firstLineChars="200"/>
        <w:rPr>
          <w:rFonts w:ascii="宋体" w:hAnsi="宋体"/>
          <w:sz w:val="24"/>
        </w:rPr>
      </w:pPr>
      <w:r>
        <w:rPr>
          <w:rFonts w:hint="eastAsia" w:ascii="宋体" w:hAnsi="宋体"/>
          <w:sz w:val="24"/>
        </w:rPr>
        <w:t>4.2</w:t>
      </w:r>
      <w:bookmarkStart w:id="110" w:name="OLE_LINK1"/>
      <w:bookmarkStart w:id="111" w:name="OLE_LINK2"/>
      <w:r>
        <w:rPr>
          <w:rFonts w:hint="eastAsia" w:ascii="宋体" w:hAnsi="宋体"/>
          <w:sz w:val="24"/>
        </w:rPr>
        <w:t>招标清单中未列出而实际发生的配件及服务价格，由双方协商确定，原则上未列出的配件及服务价格按上下级别型号的中间价计算。</w:t>
      </w:r>
      <w:bookmarkEnd w:id="110"/>
      <w:bookmarkEnd w:id="111"/>
    </w:p>
    <w:p>
      <w:pPr>
        <w:ind w:firstLine="480" w:firstLineChars="200"/>
        <w:rPr>
          <w:rFonts w:ascii="宋体" w:hAnsi="宋体"/>
          <w:sz w:val="24"/>
        </w:rPr>
      </w:pPr>
      <w:r>
        <w:rPr>
          <w:rFonts w:hint="eastAsia" w:ascii="宋体" w:hAnsi="宋体"/>
          <w:sz w:val="24"/>
        </w:rPr>
        <w:t>4.3甲乙双方按照实际工作量的签证，对照中标单价计算得出服务价格。</w:t>
      </w:r>
    </w:p>
    <w:p>
      <w:pPr>
        <w:ind w:firstLine="482" w:firstLineChars="200"/>
        <w:rPr>
          <w:rFonts w:ascii="宋体" w:hAnsi="宋体"/>
          <w:sz w:val="24"/>
        </w:rPr>
      </w:pPr>
      <w:r>
        <w:rPr>
          <w:rFonts w:hint="eastAsia" w:ascii="宋体" w:hAnsi="宋体" w:cs="Arial"/>
          <w:b/>
          <w:sz w:val="24"/>
        </w:rPr>
        <w:t>5．</w:t>
      </w:r>
      <w:r>
        <w:rPr>
          <w:rFonts w:hint="eastAsia" w:ascii="宋体" w:hAnsi="宋体"/>
          <w:b/>
          <w:bCs/>
          <w:sz w:val="24"/>
        </w:rPr>
        <w:t>甲方的权利</w:t>
      </w:r>
    </w:p>
    <w:p>
      <w:pPr>
        <w:ind w:firstLine="480" w:firstLineChars="200"/>
        <w:rPr>
          <w:rFonts w:ascii="宋体" w:hAnsi="宋体"/>
          <w:sz w:val="24"/>
        </w:rPr>
      </w:pPr>
      <w:r>
        <w:rPr>
          <w:rFonts w:hint="eastAsia" w:ascii="宋体" w:hAnsi="宋体"/>
          <w:sz w:val="24"/>
        </w:rPr>
        <w:t>5.1本合同有效期内，每季度对乙方按合同、招标文件及双方认可的技术标准等进行服务及时性和维修质量的考核。</w:t>
      </w:r>
    </w:p>
    <w:p>
      <w:pPr>
        <w:ind w:firstLine="480" w:firstLineChars="200"/>
        <w:rPr>
          <w:rFonts w:ascii="宋体" w:hAnsi="宋体"/>
          <w:sz w:val="24"/>
        </w:rPr>
      </w:pPr>
      <w:r>
        <w:rPr>
          <w:rFonts w:hint="eastAsia" w:ascii="宋体" w:hAnsi="宋体"/>
          <w:sz w:val="24"/>
        </w:rPr>
        <w:t>5.2乙方维修进度或质量不能满足甲方要求时，甲方有权利要求乙方增加维修人员数量或进行人员调换。如乙方维修进度或质量不佳，并在季度考核中评价为不合格的，甲方有权中止合同。</w:t>
      </w:r>
    </w:p>
    <w:p>
      <w:pPr>
        <w:ind w:firstLine="480" w:firstLineChars="200"/>
        <w:rPr>
          <w:rFonts w:ascii="宋体" w:hAnsi="宋体"/>
          <w:sz w:val="24"/>
        </w:rPr>
      </w:pPr>
      <w:r>
        <w:rPr>
          <w:rFonts w:hint="eastAsia" w:ascii="宋体" w:hAnsi="宋体"/>
          <w:sz w:val="24"/>
        </w:rPr>
        <w:t>5.3当乙方因维修质量不佳或维修延误时，甲方有权根据第12条之规定对乙方扣除部分维修费用、要求赔偿或中止合同。</w:t>
      </w:r>
    </w:p>
    <w:p>
      <w:pPr>
        <w:ind w:firstLine="480" w:firstLineChars="200"/>
        <w:rPr>
          <w:rFonts w:ascii="宋体" w:hAnsi="宋体"/>
          <w:sz w:val="24"/>
        </w:rPr>
      </w:pPr>
      <w:r>
        <w:rPr>
          <w:rFonts w:hint="eastAsia" w:ascii="宋体" w:hAnsi="宋体"/>
          <w:sz w:val="24"/>
        </w:rPr>
        <w:t>5.4在合同有效期内，甲方有权自行决定机电设备维修和定期保养的数量。</w:t>
      </w:r>
    </w:p>
    <w:p>
      <w:pPr>
        <w:ind w:firstLine="480" w:firstLineChars="200"/>
        <w:rPr>
          <w:rFonts w:ascii="宋体" w:hAnsi="宋体"/>
          <w:sz w:val="24"/>
        </w:rPr>
      </w:pPr>
      <w:r>
        <w:rPr>
          <w:rFonts w:hint="eastAsia" w:ascii="宋体" w:hAnsi="宋体"/>
          <w:sz w:val="24"/>
        </w:rPr>
        <w:t>5.5机电设备的解体及组装必须在甲方在场或许可的情况下进行（如：通过视频、拍照等）；如发现乙方未按此要求进行机电设备解体及组装，甲方有权要求乙方重新解体并组装，由此造成的一切损失（包括因此延误时间对甲方造成的损失）均由乙方承担。</w:t>
      </w:r>
    </w:p>
    <w:p>
      <w:pPr>
        <w:ind w:firstLine="480" w:firstLineChars="200"/>
        <w:rPr>
          <w:rFonts w:ascii="宋体" w:hAnsi="宋体"/>
          <w:sz w:val="24"/>
        </w:rPr>
      </w:pPr>
      <w:r>
        <w:rPr>
          <w:rFonts w:hint="eastAsia" w:ascii="宋体" w:hAnsi="宋体"/>
          <w:sz w:val="24"/>
        </w:rPr>
        <w:t>5.6对更换下来的零部件等（重绕电机的废旧线圈除外）应交由甲方处置。乙方交甲方自行处置的，甲方有权要求乙方按5.5项之规定执行。</w:t>
      </w:r>
    </w:p>
    <w:p>
      <w:pPr>
        <w:ind w:firstLine="480" w:firstLineChars="200"/>
        <w:rPr>
          <w:rFonts w:ascii="宋体" w:hAnsi="宋体"/>
          <w:sz w:val="24"/>
        </w:rPr>
      </w:pPr>
      <w:r>
        <w:rPr>
          <w:rFonts w:hint="eastAsia" w:ascii="宋体" w:hAnsi="宋体"/>
          <w:sz w:val="24"/>
        </w:rPr>
        <w:t>5.7在合同有效期内，在乙方维修进度或质量不能满足甲方要求时，甲方有权利要求乙方增加维修人员数量或进行人员调换。</w:t>
      </w:r>
    </w:p>
    <w:p>
      <w:pPr>
        <w:ind w:firstLine="480" w:firstLineChars="200"/>
        <w:rPr>
          <w:rFonts w:ascii="宋体" w:hAnsi="宋体"/>
          <w:sz w:val="24"/>
        </w:rPr>
      </w:pPr>
      <w:r>
        <w:rPr>
          <w:rFonts w:hint="eastAsia" w:ascii="宋体" w:hAnsi="宋体"/>
          <w:sz w:val="24"/>
        </w:rPr>
        <w:t>5.8在合同有效期内，甲方有权根据国家法律法规要求，并结合工作特点和实际情况修改或增添相关维修、保养的要求和考核办法等，这些要求和办法经乙方签字认可后视为本合同不可分割的一部分。</w:t>
      </w:r>
    </w:p>
    <w:p>
      <w:pPr>
        <w:ind w:firstLine="480" w:firstLineChars="200"/>
        <w:rPr>
          <w:rFonts w:ascii="宋体" w:hAnsi="宋体"/>
          <w:sz w:val="24"/>
        </w:rPr>
      </w:pPr>
      <w:r>
        <w:rPr>
          <w:rFonts w:hint="eastAsia" w:ascii="宋体" w:hAnsi="宋体"/>
          <w:sz w:val="24"/>
        </w:rPr>
        <w:t>5.9甲方有权将其机电设备交由除乙方之外的单位进行维修（如机电设备生产厂家等），乙方的中标不代表其获得甲方机电设备的唯一维修资格。</w:t>
      </w:r>
    </w:p>
    <w:p>
      <w:pPr>
        <w:ind w:firstLine="482" w:firstLineChars="200"/>
        <w:rPr>
          <w:rFonts w:ascii="宋体" w:hAnsi="宋体"/>
          <w:sz w:val="24"/>
        </w:rPr>
      </w:pPr>
      <w:r>
        <w:rPr>
          <w:rFonts w:hint="eastAsia" w:ascii="宋体" w:hAnsi="宋体" w:cs="Arial"/>
          <w:b/>
          <w:sz w:val="24"/>
        </w:rPr>
        <w:t xml:space="preserve">6.甲方的义务 </w:t>
      </w:r>
    </w:p>
    <w:p>
      <w:pPr>
        <w:ind w:firstLine="480" w:firstLineChars="200"/>
        <w:rPr>
          <w:rFonts w:ascii="宋体" w:hAnsi="宋体"/>
          <w:sz w:val="24"/>
        </w:rPr>
      </w:pPr>
      <w:r>
        <w:rPr>
          <w:rFonts w:hint="eastAsia" w:ascii="宋体" w:hAnsi="宋体"/>
          <w:sz w:val="24"/>
        </w:rPr>
        <w:t>6.1甲方负责将维修内容、维修工作量不定期地提前告知乙方，对于需要定期保养的机电设备，甲方在每月28日前将保养计划告知乙方。</w:t>
      </w:r>
    </w:p>
    <w:p>
      <w:pPr>
        <w:ind w:firstLine="480" w:firstLineChars="200"/>
        <w:rPr>
          <w:rFonts w:ascii="宋体" w:hAnsi="宋体"/>
          <w:sz w:val="24"/>
        </w:rPr>
      </w:pPr>
      <w:r>
        <w:rPr>
          <w:rFonts w:hint="eastAsia" w:ascii="宋体" w:hAnsi="宋体"/>
          <w:sz w:val="24"/>
        </w:rPr>
        <w:t>6.2合同生效后，甲方负责在10个工作日内将泵站、污水厂地点分布情况、机电设备种类等有关事项告知乙方。</w:t>
      </w:r>
    </w:p>
    <w:p>
      <w:pPr>
        <w:ind w:firstLine="480" w:firstLineChars="200"/>
        <w:rPr>
          <w:rFonts w:ascii="宋体" w:hAnsi="宋体"/>
          <w:sz w:val="24"/>
        </w:rPr>
      </w:pPr>
      <w:r>
        <w:rPr>
          <w:rFonts w:hint="eastAsia" w:ascii="宋体" w:hAnsi="宋体"/>
          <w:sz w:val="24"/>
        </w:rPr>
        <w:t>6.3甲方帮助协调乙方服务过程中遇到的突发情况。</w:t>
      </w:r>
    </w:p>
    <w:p>
      <w:pPr>
        <w:ind w:firstLine="480" w:firstLineChars="200"/>
        <w:rPr>
          <w:rFonts w:ascii="宋体" w:hAnsi="宋体"/>
          <w:sz w:val="24"/>
        </w:rPr>
      </w:pPr>
      <w:r>
        <w:rPr>
          <w:rFonts w:hint="eastAsia" w:ascii="宋体" w:hAnsi="宋体"/>
          <w:sz w:val="24"/>
        </w:rPr>
        <w:t>6.4甲方负责采购维修过程中必须更换的机电设备原厂零部件（如机电设备叶轮等）。</w:t>
      </w:r>
    </w:p>
    <w:p>
      <w:pPr>
        <w:ind w:firstLine="480" w:firstLineChars="200"/>
        <w:rPr>
          <w:rFonts w:ascii="宋体" w:hAnsi="宋体"/>
          <w:sz w:val="24"/>
        </w:rPr>
      </w:pPr>
      <w:r>
        <w:rPr>
          <w:rFonts w:hint="eastAsia" w:ascii="宋体" w:hAnsi="宋体"/>
          <w:sz w:val="24"/>
        </w:rPr>
        <w:t>6.5在乙方提出需要更换相应机电设备原厂零部件时，出于甲方原因而通知乙方不进行更换进而导致安装后运行工况达不到设计要求的，后果由甲方承担。</w:t>
      </w:r>
    </w:p>
    <w:p>
      <w:pPr>
        <w:ind w:firstLine="480" w:firstLineChars="200"/>
        <w:rPr>
          <w:rFonts w:ascii="宋体" w:hAnsi="宋体"/>
          <w:sz w:val="24"/>
        </w:rPr>
      </w:pPr>
      <w:r>
        <w:rPr>
          <w:rFonts w:hint="eastAsia" w:ascii="宋体" w:hAnsi="宋体"/>
          <w:sz w:val="24"/>
        </w:rPr>
        <w:t>6.6甲方对乙方的工作内容进行确认，并配合集中采购机构对合同的执行情况进行跟踪监督，及时将有关情况报采购部门。</w:t>
      </w:r>
    </w:p>
    <w:p>
      <w:pPr>
        <w:ind w:firstLine="480" w:firstLineChars="200"/>
        <w:rPr>
          <w:rFonts w:ascii="宋体" w:hAnsi="宋体"/>
          <w:sz w:val="24"/>
        </w:rPr>
      </w:pPr>
      <w:r>
        <w:rPr>
          <w:rFonts w:hint="eastAsia" w:ascii="宋体" w:hAnsi="宋体"/>
          <w:sz w:val="24"/>
        </w:rPr>
        <w:t>6.7按照合同要求及时支付相关费用。</w:t>
      </w:r>
    </w:p>
    <w:p>
      <w:pPr>
        <w:ind w:firstLine="482" w:firstLineChars="200"/>
        <w:rPr>
          <w:rFonts w:ascii="宋体" w:hAnsi="宋体"/>
          <w:b/>
          <w:bCs/>
          <w:sz w:val="24"/>
        </w:rPr>
      </w:pPr>
      <w:r>
        <w:rPr>
          <w:rFonts w:hint="eastAsia" w:ascii="宋体" w:hAnsi="宋体" w:cs="Arial"/>
          <w:b/>
          <w:sz w:val="24"/>
        </w:rPr>
        <w:t xml:space="preserve">7. </w:t>
      </w:r>
      <w:r>
        <w:rPr>
          <w:rFonts w:hint="eastAsia" w:ascii="宋体" w:hAnsi="宋体"/>
          <w:b/>
          <w:bCs/>
          <w:sz w:val="24"/>
        </w:rPr>
        <w:t>乙方的权利</w:t>
      </w:r>
    </w:p>
    <w:p>
      <w:pPr>
        <w:ind w:firstLine="480" w:firstLineChars="200"/>
        <w:rPr>
          <w:rFonts w:ascii="宋体" w:hAnsi="宋体"/>
          <w:sz w:val="24"/>
        </w:rPr>
      </w:pPr>
      <w:r>
        <w:rPr>
          <w:rFonts w:hint="eastAsia" w:ascii="宋体" w:hAnsi="宋体"/>
          <w:sz w:val="24"/>
        </w:rPr>
        <w:t>7.1乙方作为中标人，具有向甲方提供机电设备维保服务的资格。</w:t>
      </w:r>
    </w:p>
    <w:p>
      <w:pPr>
        <w:ind w:firstLine="480" w:firstLineChars="200"/>
        <w:rPr>
          <w:rFonts w:ascii="宋体" w:hAnsi="宋体"/>
          <w:sz w:val="24"/>
        </w:rPr>
      </w:pPr>
      <w:r>
        <w:rPr>
          <w:rFonts w:hint="eastAsia" w:ascii="宋体" w:hAnsi="宋体"/>
          <w:sz w:val="24"/>
        </w:rPr>
        <w:t>7.2乙方在判断机电设备重要部件需更换才能在维修后达到相应要求的（如叶轮严重磨损），经甲方认可后由甲方提供相应零部件。如甲方认可并坚持不更换的，后果由甲方承担。</w:t>
      </w:r>
    </w:p>
    <w:p>
      <w:pPr>
        <w:ind w:firstLine="480" w:firstLineChars="200"/>
        <w:rPr>
          <w:rFonts w:ascii="宋体" w:hAnsi="宋体"/>
          <w:sz w:val="24"/>
        </w:rPr>
      </w:pPr>
      <w:r>
        <w:rPr>
          <w:rFonts w:hint="eastAsia" w:ascii="宋体" w:hAnsi="宋体"/>
          <w:sz w:val="24"/>
        </w:rPr>
        <w:t>7.2乙方有权拒绝甲方提出的以机电设备维修服务的名义提供超出招标要求、投标承诺以外的其他要求（5.5条款规定的除外）。</w:t>
      </w:r>
    </w:p>
    <w:p>
      <w:pPr>
        <w:ind w:firstLine="480" w:firstLineChars="200"/>
        <w:rPr>
          <w:rFonts w:ascii="宋体" w:hAnsi="宋体"/>
          <w:sz w:val="24"/>
        </w:rPr>
      </w:pPr>
      <w:r>
        <w:rPr>
          <w:rFonts w:hint="eastAsia" w:ascii="宋体" w:hAnsi="宋体"/>
          <w:sz w:val="24"/>
        </w:rPr>
        <w:t xml:space="preserve">7.3对甲方不正当要求和违规行为进行投诉，并要求有关部门做出处理。 </w:t>
      </w:r>
    </w:p>
    <w:p>
      <w:pPr>
        <w:ind w:firstLine="482" w:firstLineChars="200"/>
        <w:rPr>
          <w:rFonts w:ascii="宋体" w:hAnsi="宋体"/>
          <w:b/>
          <w:bCs/>
          <w:sz w:val="24"/>
        </w:rPr>
      </w:pPr>
      <w:r>
        <w:rPr>
          <w:rFonts w:hint="eastAsia" w:ascii="宋体" w:hAnsi="宋体" w:cs="Arial"/>
          <w:b/>
          <w:bCs/>
          <w:sz w:val="24"/>
        </w:rPr>
        <w:t>8.</w:t>
      </w:r>
      <w:r>
        <w:rPr>
          <w:rFonts w:hint="eastAsia" w:ascii="宋体" w:hAnsi="宋体"/>
          <w:b/>
          <w:bCs/>
          <w:sz w:val="24"/>
        </w:rPr>
        <w:t xml:space="preserve">乙方的义务 </w:t>
      </w:r>
    </w:p>
    <w:p>
      <w:pPr>
        <w:ind w:firstLine="480" w:firstLineChars="200"/>
        <w:rPr>
          <w:rFonts w:ascii="宋体" w:hAnsi="宋体"/>
          <w:sz w:val="24"/>
        </w:rPr>
      </w:pPr>
      <w:r>
        <w:rPr>
          <w:rFonts w:hint="eastAsia" w:ascii="宋体" w:hAnsi="宋体"/>
          <w:sz w:val="24"/>
        </w:rPr>
        <w:t xml:space="preserve">8.1严格执行国家法律法规，遵守本合同条款。 </w:t>
      </w:r>
    </w:p>
    <w:p>
      <w:pPr>
        <w:ind w:firstLine="480" w:firstLineChars="200"/>
        <w:rPr>
          <w:rFonts w:ascii="宋体" w:hAnsi="宋体"/>
          <w:sz w:val="24"/>
        </w:rPr>
      </w:pPr>
      <w:r>
        <w:rPr>
          <w:rFonts w:hint="eastAsia" w:ascii="宋体" w:hAnsi="宋体"/>
          <w:sz w:val="24"/>
        </w:rPr>
        <w:t xml:space="preserve">8.2随时接受并配合甲方的监督检查，并配合政府采购部门对机电设备维修保养服务执行情况进行监督。 </w:t>
      </w:r>
    </w:p>
    <w:p>
      <w:pPr>
        <w:ind w:firstLine="480" w:firstLineChars="200"/>
        <w:rPr>
          <w:rFonts w:ascii="宋体" w:hAnsi="宋体"/>
          <w:sz w:val="24"/>
        </w:rPr>
      </w:pPr>
      <w:r>
        <w:rPr>
          <w:rFonts w:hint="eastAsia" w:ascii="宋体" w:hAnsi="宋体"/>
          <w:sz w:val="24"/>
        </w:rPr>
        <w:t>8.3在合同有效期内，按照中标价格向甲方提供相关服务</w:t>
      </w:r>
    </w:p>
    <w:p>
      <w:pPr>
        <w:snapToGrid w:val="0"/>
        <w:ind w:firstLine="480" w:firstLineChars="200"/>
        <w:rPr>
          <w:rFonts w:ascii="宋体" w:hAnsi="宋体"/>
          <w:sz w:val="24"/>
        </w:rPr>
      </w:pPr>
      <w:r>
        <w:rPr>
          <w:rFonts w:hint="eastAsia" w:ascii="宋体" w:hAnsi="宋体"/>
          <w:sz w:val="24"/>
        </w:rPr>
        <w:t>8.4在乙方维修人员无法胜任工作要求或维修进度受到严重影响的情况下，乙方有义务更换或增加维修人员，并采取相应措施保证维修进度。</w:t>
      </w:r>
    </w:p>
    <w:p>
      <w:pPr>
        <w:snapToGrid w:val="0"/>
        <w:ind w:firstLine="480" w:firstLineChars="200"/>
        <w:rPr>
          <w:rFonts w:ascii="宋体" w:hAnsi="宋体"/>
          <w:sz w:val="24"/>
        </w:rPr>
      </w:pPr>
      <w:r>
        <w:rPr>
          <w:rFonts w:hint="eastAsia" w:ascii="宋体" w:hAnsi="宋体"/>
          <w:sz w:val="24"/>
        </w:rPr>
        <w:t>8.5乙方应做好进场设备的编号和登记工作，对拆解的部件合理标记并妥善保管，不定期接受甲方的检查和考核。</w:t>
      </w:r>
    </w:p>
    <w:p>
      <w:pPr>
        <w:snapToGrid w:val="0"/>
        <w:ind w:firstLine="480" w:firstLineChars="200"/>
        <w:rPr>
          <w:rFonts w:ascii="宋体" w:hAnsi="宋体"/>
          <w:sz w:val="24"/>
        </w:rPr>
      </w:pPr>
      <w:r>
        <w:rPr>
          <w:rFonts w:hint="eastAsia" w:ascii="宋体" w:hAnsi="宋体"/>
          <w:sz w:val="24"/>
        </w:rPr>
        <w:t>8.6乙方必须在接收到甲方的维修计划和内容后，在规定期限内完成维修保养工作，出现需要甲方购买原厂零部件或其他特殊情况时应书面汇报甲方，以保证甲方的维修进度。</w:t>
      </w:r>
    </w:p>
    <w:p>
      <w:pPr>
        <w:snapToGrid w:val="0"/>
        <w:ind w:firstLine="480" w:firstLineChars="200"/>
        <w:rPr>
          <w:rFonts w:ascii="宋体" w:hAnsi="宋体"/>
          <w:sz w:val="24"/>
        </w:rPr>
      </w:pPr>
      <w:r>
        <w:rPr>
          <w:rFonts w:hint="eastAsia" w:ascii="宋体" w:hAnsi="宋体"/>
          <w:sz w:val="24"/>
        </w:rPr>
        <w:t>8.7乙方在对机电设备进行起吊、装卸、运输、拆装、维修、调试时，必须遵照国家和甲方有关安全作业的规定和要求，如因非甲方原因引起的安全事故和损失，由乙方承担。</w:t>
      </w:r>
    </w:p>
    <w:p>
      <w:pPr>
        <w:ind w:firstLine="482" w:firstLineChars="200"/>
        <w:rPr>
          <w:rFonts w:ascii="宋体" w:hAnsi="宋体"/>
          <w:b/>
          <w:sz w:val="24"/>
        </w:rPr>
      </w:pPr>
      <w:r>
        <w:rPr>
          <w:rFonts w:hint="eastAsia" w:ascii="宋体" w:hAnsi="宋体"/>
          <w:b/>
          <w:sz w:val="24"/>
        </w:rPr>
        <w:t>9. 服务要求</w:t>
      </w:r>
    </w:p>
    <w:p>
      <w:pPr>
        <w:ind w:firstLine="480" w:firstLineChars="200"/>
        <w:rPr>
          <w:rFonts w:ascii="宋体" w:hAnsi="宋体"/>
          <w:sz w:val="24"/>
        </w:rPr>
      </w:pPr>
      <w:r>
        <w:rPr>
          <w:rFonts w:hint="eastAsia" w:ascii="宋体" w:hAnsi="宋体"/>
          <w:sz w:val="24"/>
        </w:rPr>
        <w:t>乙方除了必须履行招标文件中的维修技术要求外，还必须达到如下要求：</w:t>
      </w:r>
    </w:p>
    <w:p>
      <w:pPr>
        <w:ind w:firstLine="482" w:firstLineChars="200"/>
        <w:rPr>
          <w:rFonts w:ascii="宋体" w:hAnsi="宋体"/>
          <w:b/>
          <w:sz w:val="24"/>
        </w:rPr>
      </w:pPr>
      <w:r>
        <w:rPr>
          <w:rFonts w:hint="eastAsia" w:ascii="宋体" w:hAnsi="宋体"/>
          <w:b/>
          <w:sz w:val="24"/>
        </w:rPr>
        <w:t>9.1时间要求</w:t>
      </w:r>
    </w:p>
    <w:p>
      <w:pPr>
        <w:ind w:firstLine="482" w:firstLineChars="200"/>
        <w:rPr>
          <w:rFonts w:ascii="宋体" w:hAnsi="宋体"/>
          <w:b/>
          <w:sz w:val="24"/>
        </w:rPr>
      </w:pPr>
      <w:r>
        <w:rPr>
          <w:rFonts w:hint="eastAsia" w:ascii="宋体" w:hAnsi="宋体"/>
          <w:b/>
          <w:sz w:val="24"/>
        </w:rPr>
        <w:t>9.1.1乙方在接到甲方的机电设备维修要求后，需在</w:t>
      </w:r>
      <w:r>
        <w:rPr>
          <w:rFonts w:hint="eastAsia" w:ascii="宋体" w:hAnsi="宋体"/>
          <w:b/>
          <w:sz w:val="24"/>
          <w:u w:val="single"/>
        </w:rPr>
        <w:t>***</w:t>
      </w:r>
      <w:r>
        <w:rPr>
          <w:rFonts w:hint="eastAsia" w:ascii="宋体" w:hAnsi="宋体"/>
          <w:b/>
          <w:sz w:val="24"/>
        </w:rPr>
        <w:t>小时内抵达现场。</w:t>
      </w:r>
    </w:p>
    <w:p>
      <w:pPr>
        <w:ind w:firstLine="482" w:firstLineChars="200"/>
        <w:rPr>
          <w:rFonts w:ascii="宋体" w:hAnsi="宋体"/>
          <w:b/>
          <w:sz w:val="24"/>
        </w:rPr>
      </w:pPr>
      <w:r>
        <w:rPr>
          <w:rFonts w:hint="eastAsia" w:ascii="宋体" w:hAnsi="宋体"/>
          <w:b/>
          <w:sz w:val="24"/>
        </w:rPr>
        <w:t>9.1.2机电设备的维修作业需在</w:t>
      </w:r>
      <w:r>
        <w:rPr>
          <w:rFonts w:hint="eastAsia" w:ascii="宋体" w:hAnsi="宋体"/>
          <w:b/>
          <w:sz w:val="24"/>
          <w:u w:val="single"/>
        </w:rPr>
        <w:t>***</w:t>
      </w:r>
      <w:r>
        <w:rPr>
          <w:rFonts w:hint="eastAsia" w:ascii="宋体" w:hAnsi="宋体"/>
          <w:b/>
          <w:sz w:val="24"/>
        </w:rPr>
        <w:t>个日历日内完成，定期保养作业需在</w:t>
      </w:r>
      <w:r>
        <w:rPr>
          <w:rFonts w:hint="eastAsia" w:ascii="宋体" w:hAnsi="宋体"/>
          <w:b/>
          <w:sz w:val="24"/>
          <w:u w:val="single"/>
        </w:rPr>
        <w:t>***</w:t>
      </w:r>
      <w:r>
        <w:rPr>
          <w:rFonts w:hint="eastAsia" w:ascii="宋体" w:hAnsi="宋体"/>
          <w:b/>
          <w:sz w:val="24"/>
        </w:rPr>
        <w:t>个日历日内完成，等待甲供零件部件或其他甲方认可的情况除外。</w:t>
      </w:r>
    </w:p>
    <w:p>
      <w:pPr>
        <w:ind w:firstLine="482" w:firstLineChars="200"/>
        <w:rPr>
          <w:rFonts w:ascii="宋体" w:hAnsi="宋体"/>
          <w:b/>
          <w:sz w:val="24"/>
        </w:rPr>
      </w:pPr>
      <w:r>
        <w:rPr>
          <w:rFonts w:hint="eastAsia" w:ascii="宋体" w:hAnsi="宋体"/>
          <w:b/>
          <w:sz w:val="24"/>
        </w:rPr>
        <w:t>9.1.3甲方在防汛、抢修等特殊情况下，有权利对维修时间提出更严格的要求，乙方应合理安排自身工作计划，尽量满足甲方的相关需求。</w:t>
      </w:r>
    </w:p>
    <w:p>
      <w:pPr>
        <w:ind w:firstLine="480" w:firstLineChars="200"/>
        <w:rPr>
          <w:rFonts w:ascii="宋体" w:hAnsi="宋体"/>
          <w:sz w:val="24"/>
        </w:rPr>
      </w:pPr>
      <w:r>
        <w:rPr>
          <w:rFonts w:hint="eastAsia" w:ascii="宋体" w:hAnsi="宋体"/>
          <w:sz w:val="24"/>
        </w:rPr>
        <w:t>9.2质量要求</w:t>
      </w:r>
    </w:p>
    <w:p>
      <w:pPr>
        <w:ind w:firstLine="480" w:firstLineChars="200"/>
        <w:rPr>
          <w:rFonts w:ascii="宋体" w:hAnsi="宋体"/>
          <w:sz w:val="24"/>
        </w:rPr>
      </w:pPr>
      <w:r>
        <w:rPr>
          <w:rFonts w:hint="eastAsia" w:ascii="宋体" w:hAnsi="宋体"/>
          <w:sz w:val="24"/>
        </w:rPr>
        <w:t>9.2.1机电设备维修及定期保养的技术要求参照招标文件第5条“</w:t>
      </w:r>
      <w:r>
        <w:rPr>
          <w:rFonts w:hint="eastAsia" w:ascii="宋体" w:hAnsi="宋体" w:cs="宋体"/>
          <w:bCs/>
          <w:sz w:val="24"/>
        </w:rPr>
        <w:t>技术管理要求”的相关内容执行。</w:t>
      </w:r>
    </w:p>
    <w:p>
      <w:pPr>
        <w:ind w:firstLine="480" w:firstLineChars="200"/>
        <w:rPr>
          <w:rFonts w:ascii="宋体" w:hAnsi="宋体"/>
          <w:sz w:val="24"/>
        </w:rPr>
      </w:pPr>
      <w:r>
        <w:rPr>
          <w:rFonts w:hint="eastAsia" w:ascii="宋体" w:hAnsi="宋体"/>
          <w:sz w:val="24"/>
        </w:rPr>
        <w:t>9.2.2机电设备维修或保养过后，按照常州市连城管道网络有限公司《机电设备发外维保验收记录表》的表式进行验收。</w:t>
      </w:r>
    </w:p>
    <w:p>
      <w:pPr>
        <w:ind w:firstLine="480" w:firstLineChars="200"/>
        <w:rPr>
          <w:rFonts w:ascii="宋体" w:hAnsi="宋体"/>
          <w:sz w:val="24"/>
        </w:rPr>
      </w:pPr>
      <w:r>
        <w:rPr>
          <w:rFonts w:hint="eastAsia" w:ascii="宋体" w:hAnsi="宋体"/>
          <w:sz w:val="24"/>
        </w:rPr>
        <w:t>9.2.3机电设备维保后的各项指标等需符合相应的国家标准或机电设备设计要求。其中更换过叶轮部件的流量需不低于额定流量，未更换叶轮部件的流量需不低于额定流量的90%。</w:t>
      </w:r>
    </w:p>
    <w:p>
      <w:pPr>
        <w:ind w:firstLine="480" w:firstLineChars="200"/>
        <w:rPr>
          <w:rFonts w:ascii="宋体" w:hAnsi="宋体"/>
          <w:sz w:val="24"/>
        </w:rPr>
      </w:pPr>
      <w:r>
        <w:rPr>
          <w:rFonts w:hint="eastAsia" w:ascii="宋体" w:hAnsi="宋体"/>
          <w:sz w:val="24"/>
        </w:rPr>
        <w:t>9.2.4机电设备在质保期内因乙方维修质量原因发生故障的，由乙方负责返修，由此产生的所有费用由乙方承担。</w:t>
      </w:r>
    </w:p>
    <w:p>
      <w:pPr>
        <w:ind w:firstLine="480" w:firstLineChars="200"/>
        <w:rPr>
          <w:rFonts w:ascii="宋体" w:hAnsi="宋体"/>
          <w:sz w:val="24"/>
        </w:rPr>
      </w:pPr>
      <w:r>
        <w:rPr>
          <w:rFonts w:hint="eastAsia" w:ascii="宋体" w:hAnsi="宋体"/>
          <w:sz w:val="24"/>
        </w:rPr>
        <w:t>9.3签证要求</w:t>
      </w:r>
    </w:p>
    <w:p>
      <w:pPr>
        <w:ind w:firstLine="480" w:firstLineChars="200"/>
        <w:rPr>
          <w:rFonts w:ascii="宋体" w:hAnsi="宋体"/>
          <w:sz w:val="24"/>
        </w:rPr>
      </w:pPr>
      <w:r>
        <w:rPr>
          <w:rFonts w:hint="eastAsia" w:ascii="宋体" w:hAnsi="宋体"/>
          <w:sz w:val="24"/>
        </w:rPr>
        <w:t>9.3.1乙方在对机电设备进行维修前，应与甲方确认设备原有状态。在设备解体后，与甲方一同确认维修内容和工程量。甲乙双方在《机电设备维修内容确认表》上对上述内容进行签字确认。</w:t>
      </w:r>
    </w:p>
    <w:p>
      <w:pPr>
        <w:ind w:firstLine="480" w:firstLineChars="200"/>
        <w:rPr>
          <w:rFonts w:ascii="宋体" w:hAnsi="宋体"/>
          <w:sz w:val="24"/>
        </w:rPr>
      </w:pPr>
      <w:r>
        <w:rPr>
          <w:rFonts w:hint="eastAsia" w:ascii="宋体" w:hAnsi="宋体"/>
          <w:sz w:val="24"/>
        </w:rPr>
        <w:t>9.3.2机电设备的定期保养的范围和数量根据甲方每月提供给乙方的定期保养清单内容执行，进行保养工作前，甲乙双方需在《机电设备定期保养内容确认表》上对具体保养内容进行签字确认。</w:t>
      </w:r>
    </w:p>
    <w:p>
      <w:pPr>
        <w:ind w:firstLine="480" w:firstLineChars="200"/>
        <w:rPr>
          <w:rFonts w:ascii="宋体" w:hAnsi="宋体"/>
          <w:sz w:val="24"/>
        </w:rPr>
      </w:pPr>
      <w:r>
        <w:rPr>
          <w:rFonts w:hint="eastAsia" w:ascii="宋体" w:hAnsi="宋体"/>
          <w:sz w:val="24"/>
        </w:rPr>
        <w:t>9.3.3在对机电设备进行定期保养过程中出现需要维修的情况，经甲方同意并书面确认后转入机电设备维修程序，取消机电设备保养费用而改为机电设备维修费，相关签证方式参照8.2.1条款。</w:t>
      </w:r>
    </w:p>
    <w:p>
      <w:pPr>
        <w:ind w:firstLine="480" w:firstLineChars="200"/>
        <w:rPr>
          <w:rFonts w:ascii="宋体" w:hAnsi="宋体"/>
          <w:sz w:val="24"/>
        </w:rPr>
      </w:pPr>
      <w:r>
        <w:rPr>
          <w:rFonts w:hint="eastAsia" w:ascii="宋体" w:hAnsi="宋体"/>
          <w:sz w:val="24"/>
        </w:rPr>
        <w:t>9.3.4在完成机电设备的发外维修或发外定期保养工作后，甲乙双方应在试运行稳定一周后完成验收及签证，填写《机电设备发外维保验收记录表》。</w:t>
      </w:r>
    </w:p>
    <w:p>
      <w:pPr>
        <w:ind w:firstLine="480" w:firstLineChars="200"/>
        <w:rPr>
          <w:rFonts w:ascii="宋体" w:hAnsi="宋体"/>
          <w:sz w:val="24"/>
        </w:rPr>
      </w:pPr>
      <w:r>
        <w:rPr>
          <w:rFonts w:hint="eastAsia" w:ascii="宋体" w:hAnsi="宋体"/>
          <w:sz w:val="24"/>
        </w:rPr>
        <w:t>9.4乙方应建立维修记录台账，对每台设备的维修时间、设备状态、拆解情况、维修内容、返回时间、试运行情况等内容，以便甲方及相关部门检查。</w:t>
      </w:r>
    </w:p>
    <w:p>
      <w:pPr>
        <w:ind w:firstLine="480" w:firstLineChars="200"/>
        <w:rPr>
          <w:rFonts w:ascii="宋体" w:hAnsi="宋体"/>
          <w:sz w:val="24"/>
        </w:rPr>
      </w:pPr>
      <w:r>
        <w:rPr>
          <w:rFonts w:hint="eastAsia" w:ascii="宋体" w:hAnsi="宋体"/>
          <w:sz w:val="24"/>
        </w:rPr>
        <w:t>9.5甲乙双方对已完成的作业内容进行签证时应填写《机电设备发外维保验收记录表》，一式三份，甲方使用部门一份，乙方两份，乙方在汇总结算时向甲方采购部门提供一份，具体表式详见合同附件。</w:t>
      </w:r>
    </w:p>
    <w:p>
      <w:pPr>
        <w:ind w:firstLine="480" w:firstLineChars="200"/>
        <w:rPr>
          <w:rFonts w:ascii="宋体" w:hAnsi="宋体"/>
          <w:sz w:val="24"/>
        </w:rPr>
      </w:pPr>
      <w:r>
        <w:rPr>
          <w:rFonts w:hint="eastAsia" w:ascii="宋体" w:hAnsi="宋体"/>
          <w:sz w:val="24"/>
        </w:rPr>
        <w:t>9.6甲乙双方对维保内容进行确认的《机电设备定期保养内容确认表》、《机电设备维修内容确认表》，完成维保后的签证记录《机电设备发外维保验收记录表》以及甲方对乙方服务质量考评的《机电设备维修及定期保养考核表》等是本合同不可分割的一部分。</w:t>
      </w:r>
    </w:p>
    <w:p>
      <w:pPr>
        <w:ind w:firstLine="482" w:firstLineChars="200"/>
        <w:rPr>
          <w:rFonts w:ascii="宋体" w:hAnsi="宋体"/>
          <w:b/>
          <w:sz w:val="24"/>
        </w:rPr>
      </w:pPr>
      <w:r>
        <w:rPr>
          <w:rFonts w:hint="eastAsia" w:ascii="宋体" w:hAnsi="宋体"/>
          <w:b/>
          <w:sz w:val="24"/>
        </w:rPr>
        <w:t>10. 服务费用支付程序</w:t>
      </w:r>
    </w:p>
    <w:p>
      <w:pPr>
        <w:ind w:firstLine="480" w:firstLineChars="200"/>
        <w:rPr>
          <w:rFonts w:ascii="宋体" w:hAnsi="宋体"/>
          <w:sz w:val="24"/>
        </w:rPr>
      </w:pPr>
      <w:r>
        <w:rPr>
          <w:rFonts w:hint="eastAsia" w:ascii="宋体" w:hAnsi="宋体"/>
          <w:sz w:val="24"/>
        </w:rPr>
        <w:t>10.1故障维修的机电设备，在修毕返回后两周内完成签证资料。</w:t>
      </w:r>
    </w:p>
    <w:p>
      <w:pPr>
        <w:ind w:firstLine="480" w:firstLineChars="200"/>
        <w:rPr>
          <w:rFonts w:ascii="宋体" w:hAnsi="宋体"/>
          <w:sz w:val="24"/>
        </w:rPr>
      </w:pPr>
      <w:r>
        <w:rPr>
          <w:rFonts w:hint="eastAsia" w:ascii="宋体" w:hAnsi="宋体"/>
          <w:sz w:val="24"/>
        </w:rPr>
        <w:t>10.2定期保养的机电设备，在完成当期全部保养任务之后一周内完成签证资料，保养途中发现异常而转入维修程序的参照10.1条款执行。</w:t>
      </w:r>
    </w:p>
    <w:p>
      <w:pPr>
        <w:ind w:firstLine="480" w:firstLineChars="200"/>
        <w:rPr>
          <w:rFonts w:ascii="宋体" w:hAnsi="宋体"/>
          <w:sz w:val="24"/>
        </w:rPr>
      </w:pPr>
      <w:r>
        <w:rPr>
          <w:rFonts w:hint="eastAsia" w:ascii="宋体" w:hAnsi="宋体"/>
          <w:sz w:val="24"/>
        </w:rPr>
        <w:t>10.3甲方依据《机电设备发外维保验收记录表》中对维保内容的签证进行计价支付。</w:t>
      </w:r>
    </w:p>
    <w:p>
      <w:pPr>
        <w:ind w:firstLine="482" w:firstLineChars="200"/>
        <w:rPr>
          <w:rFonts w:ascii="宋体" w:hAnsi="宋体"/>
          <w:b/>
          <w:sz w:val="24"/>
        </w:rPr>
      </w:pPr>
      <w:r>
        <w:rPr>
          <w:rFonts w:hint="eastAsia" w:ascii="宋体" w:hAnsi="宋体"/>
          <w:b/>
          <w:sz w:val="24"/>
        </w:rPr>
        <w:t>10.4审定后付至审定价的95%，5%质保金，审定后满一年付清。</w:t>
      </w:r>
    </w:p>
    <w:p>
      <w:pPr>
        <w:ind w:firstLine="482" w:firstLineChars="200"/>
        <w:rPr>
          <w:rFonts w:ascii="宋体" w:hAnsi="宋体"/>
          <w:b/>
          <w:sz w:val="24"/>
        </w:rPr>
      </w:pPr>
      <w:r>
        <w:rPr>
          <w:rFonts w:hint="eastAsia" w:ascii="宋体" w:hAnsi="宋体"/>
          <w:b/>
          <w:sz w:val="24"/>
        </w:rPr>
        <w:t>11．履约保证金</w:t>
      </w:r>
    </w:p>
    <w:p>
      <w:pPr>
        <w:ind w:firstLine="480" w:firstLineChars="200"/>
        <w:rPr>
          <w:rFonts w:ascii="宋体" w:hAnsi="宋体"/>
          <w:sz w:val="24"/>
        </w:rPr>
      </w:pPr>
      <w:r>
        <w:rPr>
          <w:rFonts w:hint="eastAsia" w:ascii="宋体" w:hAnsi="宋体"/>
          <w:sz w:val="24"/>
        </w:rPr>
        <w:t>11.1中标人在收到中标通知书后，投标保证金将被转为履约保证金。履约保证金的有效期为自合同签订之日起</w:t>
      </w:r>
      <w:r>
        <w:rPr>
          <w:rFonts w:hint="eastAsia" w:ascii="宋体" w:hAnsi="宋体"/>
          <w:bCs/>
          <w:sz w:val="24"/>
        </w:rPr>
        <w:t>至定点服务期满止</w:t>
      </w:r>
      <w:r>
        <w:rPr>
          <w:rFonts w:hint="eastAsia" w:ascii="宋体" w:hAnsi="宋体"/>
          <w:sz w:val="24"/>
        </w:rPr>
        <w:t>。</w:t>
      </w:r>
    </w:p>
    <w:p>
      <w:pPr>
        <w:ind w:firstLine="480" w:firstLineChars="200"/>
        <w:rPr>
          <w:rFonts w:ascii="宋体" w:hAnsi="宋体"/>
          <w:sz w:val="24"/>
        </w:rPr>
      </w:pPr>
      <w:r>
        <w:rPr>
          <w:rFonts w:hint="eastAsia" w:ascii="宋体" w:hAnsi="宋体"/>
          <w:sz w:val="24"/>
        </w:rPr>
        <w:t>11.2 乙方提供的履约保证金的形式为银行本票、汇票、支票、电汇、保函等；与此有关的费用均由乙方负担。</w:t>
      </w:r>
    </w:p>
    <w:p>
      <w:pPr>
        <w:ind w:firstLine="480" w:firstLineChars="200"/>
        <w:rPr>
          <w:rFonts w:ascii="宋体" w:hAnsi="宋体"/>
          <w:sz w:val="24"/>
        </w:rPr>
      </w:pPr>
      <w:r>
        <w:rPr>
          <w:rFonts w:hint="eastAsia" w:ascii="宋体" w:hAnsi="宋体"/>
          <w:sz w:val="24"/>
        </w:rPr>
        <w:t>11.3 如乙方未能履行合同规定的义务，甲方有权从履约保证金中取得补偿。</w:t>
      </w:r>
    </w:p>
    <w:p>
      <w:pPr>
        <w:ind w:firstLine="480" w:firstLineChars="200"/>
        <w:rPr>
          <w:rFonts w:ascii="宋体" w:hAnsi="宋体"/>
          <w:sz w:val="24"/>
        </w:rPr>
      </w:pPr>
      <w:r>
        <w:rPr>
          <w:rFonts w:hint="eastAsia" w:ascii="宋体" w:hAnsi="宋体"/>
          <w:sz w:val="24"/>
        </w:rPr>
        <w:t>11.4 履约保证金在有效期期满后七天内退还给乙方，不计利息。</w:t>
      </w:r>
    </w:p>
    <w:p>
      <w:pPr>
        <w:ind w:firstLine="482" w:firstLineChars="200"/>
        <w:rPr>
          <w:rFonts w:ascii="宋体" w:hAnsi="宋体"/>
          <w:b/>
          <w:sz w:val="24"/>
        </w:rPr>
      </w:pPr>
      <w:r>
        <w:rPr>
          <w:rFonts w:hint="eastAsia" w:ascii="宋体" w:hAnsi="宋体"/>
          <w:b/>
          <w:sz w:val="24"/>
        </w:rPr>
        <w:t>12.乙方违约和赔偿</w:t>
      </w:r>
    </w:p>
    <w:p>
      <w:pPr>
        <w:ind w:firstLine="480" w:firstLineChars="200"/>
        <w:rPr>
          <w:rFonts w:ascii="宋体" w:hAnsi="宋体"/>
          <w:sz w:val="24"/>
        </w:rPr>
      </w:pPr>
      <w:r>
        <w:rPr>
          <w:rFonts w:hint="eastAsia" w:ascii="宋体" w:hAnsi="宋体"/>
          <w:sz w:val="24"/>
        </w:rPr>
        <w:t>12.1乙方遇到特殊情况不能在合同规定的时间内完成机电设备的维修或保养任务时，应在三个工作日内以书面方式将拖延的事实、可能拖延的时间和原因通知甲方。甲方在收到乙方通知后，应三个工作日内对情况进行评价，并确定是否酌情延长作业时间以及是否收取误期赔偿费。</w:t>
      </w:r>
    </w:p>
    <w:p>
      <w:pPr>
        <w:ind w:firstLine="480" w:firstLineChars="200"/>
        <w:rPr>
          <w:rFonts w:ascii="宋体" w:hAnsi="宋体"/>
          <w:sz w:val="24"/>
        </w:rPr>
      </w:pPr>
      <w:r>
        <w:rPr>
          <w:rFonts w:hint="eastAsia" w:ascii="宋体" w:hAnsi="宋体"/>
          <w:sz w:val="24"/>
        </w:rPr>
        <w:t>12.2因乙方维修质量原因导致返修并影响甲方运行的，甲方有权决定是否收取质量赔偿金。</w:t>
      </w:r>
    </w:p>
    <w:p>
      <w:pPr>
        <w:ind w:firstLine="480" w:firstLineChars="200"/>
        <w:rPr>
          <w:rFonts w:ascii="宋体" w:hAnsi="宋体"/>
          <w:sz w:val="24"/>
        </w:rPr>
      </w:pPr>
      <w:r>
        <w:rPr>
          <w:rFonts w:hint="eastAsia" w:ascii="宋体" w:hAnsi="宋体"/>
          <w:sz w:val="24"/>
        </w:rPr>
        <w:t>12.2乙方未能按本合同规定按时完成机电设备维修/保养工作（等待甲供零部件的除外），或维修质量不佳导致返修并影响甲方运行的，甲方有权从支付款项或履约保证金中扣除延期赔偿费及质量赔偿金。相关费用的计算方式以天计算，具体如下：</w:t>
      </w:r>
    </w:p>
    <w:p>
      <w:pPr>
        <w:ind w:firstLine="480" w:firstLineChars="200"/>
        <w:rPr>
          <w:rFonts w:ascii="宋体" w:hAnsi="宋体"/>
          <w:sz w:val="24"/>
        </w:rPr>
      </w:pPr>
      <w:r>
        <w:rPr>
          <w:rFonts w:hint="eastAsia" w:ascii="宋体" w:hAnsi="宋体"/>
          <w:sz w:val="24"/>
        </w:rPr>
        <w:t>（1）延迟交付1-7个日历日的部分，赔偿费为人民币200元/天；</w:t>
      </w:r>
    </w:p>
    <w:p>
      <w:pPr>
        <w:ind w:firstLine="480" w:firstLineChars="200"/>
        <w:rPr>
          <w:rFonts w:ascii="宋体" w:hAnsi="宋体"/>
          <w:sz w:val="24"/>
        </w:rPr>
      </w:pPr>
      <w:r>
        <w:rPr>
          <w:rFonts w:hint="eastAsia" w:ascii="宋体" w:hAnsi="宋体"/>
          <w:sz w:val="24"/>
        </w:rPr>
        <w:t>（2）延迟交付8-14个日历日的部分，赔偿费为人民币300元/天；</w:t>
      </w:r>
    </w:p>
    <w:p>
      <w:pPr>
        <w:ind w:firstLine="480" w:firstLineChars="200"/>
        <w:rPr>
          <w:rFonts w:ascii="宋体" w:hAnsi="宋体"/>
          <w:sz w:val="24"/>
        </w:rPr>
      </w:pPr>
      <w:r>
        <w:rPr>
          <w:rFonts w:hint="eastAsia" w:ascii="宋体" w:hAnsi="宋体"/>
          <w:sz w:val="24"/>
        </w:rPr>
        <w:t>（3）延迟交付15个日历日以上的部分，如未造成甲方运行事故则赔偿费为人民币500元/天。如造成甲方运行事故的，按照12.3条款处理；</w:t>
      </w:r>
    </w:p>
    <w:p>
      <w:pPr>
        <w:ind w:firstLine="480" w:firstLineChars="200"/>
        <w:rPr>
          <w:rFonts w:ascii="宋体" w:hAnsi="宋体"/>
          <w:sz w:val="24"/>
        </w:rPr>
      </w:pPr>
      <w:r>
        <w:rPr>
          <w:rFonts w:hint="eastAsia" w:ascii="宋体" w:hAnsi="宋体"/>
          <w:sz w:val="24"/>
        </w:rPr>
        <w:t>（4）因乙方维修质量原因返修的，赔偿金为维保费用的10-30%。</w:t>
      </w:r>
    </w:p>
    <w:p>
      <w:pPr>
        <w:ind w:right="31" w:rightChars="15" w:firstLine="480" w:firstLineChars="200"/>
        <w:rPr>
          <w:rFonts w:ascii="宋体" w:hAnsi="宋体"/>
          <w:sz w:val="24"/>
        </w:rPr>
      </w:pPr>
      <w:r>
        <w:rPr>
          <w:rFonts w:hint="eastAsia" w:ascii="宋体" w:hAnsi="宋体"/>
          <w:sz w:val="24"/>
        </w:rPr>
        <w:t>12.3因乙方未能按时完成机电设备的维修/保养工作，或因维修质量问题造成甲方运行事故并造成重大影响的，扣除该项维修工作100%的维修费用，并支付给甲方该项维修费300%或人民币50000元的延期赔偿费用（以金额较高者为准），支付款项不足的部分从履约保证金中扣除。此外乙方还应向甲方赔偿因此而遭受的损失,此损失在履约保证金中扣除，履约保证金金额不足时，甲方有权向乙方进行进一步的索赔。</w:t>
      </w:r>
    </w:p>
    <w:p>
      <w:pPr>
        <w:ind w:firstLine="480" w:firstLineChars="200"/>
        <w:rPr>
          <w:rFonts w:ascii="宋体" w:hAnsi="宋体"/>
          <w:sz w:val="24"/>
        </w:rPr>
      </w:pPr>
      <w:r>
        <w:rPr>
          <w:rFonts w:hint="eastAsia" w:ascii="宋体" w:hAnsi="宋体"/>
          <w:sz w:val="24"/>
        </w:rPr>
        <w:t>12.4乙方支付延期赔偿费，不能解除乙方按照合同要求继续完成设备维修的义务。</w:t>
      </w:r>
    </w:p>
    <w:p>
      <w:pPr>
        <w:ind w:firstLine="480" w:firstLineChars="200"/>
        <w:rPr>
          <w:rFonts w:ascii="宋体" w:hAnsi="宋体"/>
          <w:sz w:val="24"/>
        </w:rPr>
      </w:pPr>
      <w:r>
        <w:rPr>
          <w:rFonts w:hint="eastAsia" w:ascii="宋体" w:hAnsi="宋体"/>
          <w:sz w:val="24"/>
        </w:rPr>
        <w:t>12.5因乙方违约，甲方有权采取任何必要的措施予以补救，在下列乙方违约情况下，甲方在向乙方发出书面违约通知后，可立即终止全部或部分合同，且无须承担乙方由此而产生的一切损失：</w:t>
      </w:r>
    </w:p>
    <w:p>
      <w:pPr>
        <w:ind w:firstLine="480" w:firstLineChars="200"/>
        <w:rPr>
          <w:rFonts w:ascii="宋体" w:hAnsi="宋体"/>
          <w:sz w:val="24"/>
        </w:rPr>
      </w:pPr>
      <w:r>
        <w:rPr>
          <w:rFonts w:hint="eastAsia" w:ascii="宋体" w:hAnsi="宋体"/>
          <w:sz w:val="24"/>
        </w:rPr>
        <w:t>（a）乙方未能按时完成机电设备的维修/保养工作，造成甲方运行事故并造成重大影响；</w:t>
      </w:r>
    </w:p>
    <w:p>
      <w:pPr>
        <w:ind w:firstLine="480" w:firstLineChars="200"/>
        <w:rPr>
          <w:rFonts w:ascii="宋体" w:hAnsi="宋体"/>
          <w:sz w:val="24"/>
        </w:rPr>
      </w:pPr>
      <w:r>
        <w:rPr>
          <w:rFonts w:hint="eastAsia" w:ascii="宋体" w:hAnsi="宋体"/>
          <w:sz w:val="24"/>
        </w:rPr>
        <w:t>（b）乙方未能履行合同项下的其它义务，导致甲方利益遭受严重损害的；</w:t>
      </w:r>
    </w:p>
    <w:p>
      <w:pPr>
        <w:ind w:firstLine="480" w:firstLineChars="200"/>
        <w:rPr>
          <w:rFonts w:ascii="宋体" w:hAnsi="宋体"/>
          <w:sz w:val="24"/>
        </w:rPr>
      </w:pPr>
      <w:r>
        <w:rPr>
          <w:rFonts w:hint="eastAsia" w:ascii="宋体" w:hAnsi="宋体"/>
          <w:sz w:val="24"/>
        </w:rPr>
        <w:t>（c）乙方破产或无清偿能力。</w:t>
      </w:r>
    </w:p>
    <w:p>
      <w:pPr>
        <w:ind w:firstLine="480" w:firstLineChars="200"/>
        <w:rPr>
          <w:rFonts w:ascii="宋体" w:hAnsi="宋体"/>
          <w:sz w:val="24"/>
        </w:rPr>
      </w:pPr>
      <w:r>
        <w:rPr>
          <w:rFonts w:hint="eastAsia" w:ascii="宋体" w:hAnsi="宋体"/>
          <w:sz w:val="24"/>
        </w:rPr>
        <w:t>12.6一旦甲方根据第12.5条终止部分或全部合同，甲方有权按其认为适当的条件和方式将未完成维修的设备发由第三方维修。乙方应承担甲方交由第三方维修产生的额外费用，以及因此而造成的一切损失。但是，乙方应继续履行合同中未终止的部分。</w:t>
      </w:r>
    </w:p>
    <w:p>
      <w:pPr>
        <w:ind w:firstLine="480" w:firstLineChars="200"/>
        <w:rPr>
          <w:rFonts w:ascii="宋体" w:hAnsi="宋体"/>
          <w:sz w:val="24"/>
        </w:rPr>
      </w:pPr>
      <w:r>
        <w:rPr>
          <w:rFonts w:hint="eastAsia" w:ascii="宋体" w:hAnsi="宋体"/>
          <w:sz w:val="24"/>
        </w:rPr>
        <w:t>12.7如乙方对甲方的索赔有异议则按第15条处理，否则乙方在接到甲方索赔文件后，应对相关赔偿费用进行确认并认可甲方进行第三方维修，由此产生的第三方维修费用、运输费等其他费用也由乙方承担。</w:t>
      </w:r>
    </w:p>
    <w:p>
      <w:pPr>
        <w:ind w:right="17" w:firstLine="482" w:firstLineChars="200"/>
        <w:rPr>
          <w:rFonts w:ascii="宋体" w:hAnsi="宋体"/>
          <w:b/>
          <w:sz w:val="24"/>
        </w:rPr>
      </w:pPr>
      <w:r>
        <w:rPr>
          <w:rFonts w:hint="eastAsia" w:ascii="宋体" w:hAnsi="宋体"/>
          <w:b/>
          <w:sz w:val="24"/>
        </w:rPr>
        <w:t>13、破产终止合同及不可抗力</w:t>
      </w:r>
    </w:p>
    <w:p>
      <w:pPr>
        <w:ind w:firstLine="480" w:firstLineChars="200"/>
        <w:rPr>
          <w:rFonts w:ascii="宋体" w:hAnsi="宋体"/>
          <w:sz w:val="24"/>
        </w:rPr>
      </w:pPr>
      <w:r>
        <w:rPr>
          <w:rFonts w:hint="eastAsia" w:ascii="宋体" w:hAnsi="宋体"/>
          <w:sz w:val="24"/>
        </w:rPr>
        <w:t>13.1 如果乙方破产或无清偿能力，甲方可在任何时候以书面形式通知乙方终止合同而不给乙方补偿。该终止合同将不损害或影响甲方已经采取或将要采取的任何行动或补救措施的权力。</w:t>
      </w:r>
    </w:p>
    <w:p>
      <w:pPr>
        <w:widowControl/>
        <w:snapToGrid w:val="0"/>
        <w:spacing w:before="19"/>
        <w:ind w:firstLine="480" w:firstLineChars="200"/>
        <w:rPr>
          <w:rFonts w:ascii="宋体" w:hAnsi="宋体"/>
          <w:sz w:val="24"/>
        </w:rPr>
      </w:pPr>
      <w:r>
        <w:rPr>
          <w:rFonts w:hint="eastAsia" w:ascii="宋体" w:hAnsi="宋体"/>
          <w:bCs/>
          <w:sz w:val="24"/>
        </w:rPr>
        <w:t>13.2</w:t>
      </w:r>
      <w:r>
        <w:rPr>
          <w:rFonts w:hint="eastAsia" w:ascii="宋体" w:hAnsi="宋体"/>
          <w:sz w:val="24"/>
        </w:rPr>
        <w:t>在执行合同期限内，任何一方因不可抗力事件造成不能履行合同时，应立即通知对方，并寄送有关权威机构出具的证明，则在合同有效期内可暂停执行。出现上述情况不受合同有关逾期责任制约；</w:t>
      </w:r>
    </w:p>
    <w:p>
      <w:pPr>
        <w:ind w:firstLine="480" w:firstLineChars="200"/>
        <w:rPr>
          <w:rFonts w:ascii="宋体" w:hAnsi="宋体"/>
          <w:sz w:val="24"/>
        </w:rPr>
      </w:pPr>
      <w:r>
        <w:rPr>
          <w:rFonts w:hint="eastAsia" w:ascii="宋体" w:hAnsi="宋体"/>
          <w:bCs/>
          <w:sz w:val="24"/>
        </w:rPr>
        <w:t>13.3</w:t>
      </w:r>
      <w:r>
        <w:rPr>
          <w:rFonts w:hint="eastAsia" w:ascii="宋体" w:hAnsi="宋体"/>
          <w:sz w:val="24"/>
        </w:rPr>
        <w:t>本条所述“不可抗力”是指不可预见、不能克服及不能避免的事件，包括战争、国家或省认定的五十年一遇或以上水灾、本地6级或7度以上的地震等。</w:t>
      </w:r>
    </w:p>
    <w:p>
      <w:pPr>
        <w:ind w:firstLine="482" w:firstLineChars="200"/>
        <w:rPr>
          <w:rFonts w:ascii="宋体" w:hAnsi="宋体"/>
          <w:b/>
          <w:sz w:val="24"/>
        </w:rPr>
      </w:pPr>
      <w:r>
        <w:rPr>
          <w:rFonts w:hint="eastAsia" w:ascii="宋体" w:hAnsi="宋体"/>
          <w:b/>
          <w:sz w:val="24"/>
        </w:rPr>
        <w:t>14、</w:t>
      </w:r>
      <w:r>
        <w:rPr>
          <w:rFonts w:hint="eastAsia" w:ascii="宋体" w:hAnsi="宋体"/>
          <w:b/>
          <w:iCs/>
          <w:sz w:val="24"/>
        </w:rPr>
        <w:t>违约中止或终止合同</w:t>
      </w:r>
    </w:p>
    <w:p>
      <w:pPr>
        <w:ind w:right="17" w:firstLine="480" w:firstLineChars="200"/>
        <w:rPr>
          <w:rFonts w:ascii="宋体" w:hAnsi="宋体"/>
          <w:sz w:val="24"/>
        </w:rPr>
      </w:pPr>
      <w:r>
        <w:rPr>
          <w:rFonts w:hint="eastAsia" w:ascii="宋体" w:hAnsi="宋体"/>
          <w:sz w:val="24"/>
        </w:rPr>
        <w:t>在本合同执行过程中，甲方将不定期对乙方执行合同的情况进行检查，如有下列情况出现，在甲方对乙方违约而采取的任何补救措施不受影响的情况下，甲方可根据情节的严重性，有权向乙方发出中止或终止合同的书面通知书并按第18.4条进行处理：</w:t>
      </w:r>
    </w:p>
    <w:p>
      <w:pPr>
        <w:ind w:firstLine="480" w:firstLineChars="200"/>
        <w:rPr>
          <w:rFonts w:ascii="宋体" w:hAnsi="宋体"/>
          <w:sz w:val="24"/>
        </w:rPr>
      </w:pPr>
      <w:r>
        <w:rPr>
          <w:rFonts w:hint="eastAsia" w:ascii="宋体" w:hAnsi="宋体"/>
          <w:sz w:val="24"/>
        </w:rPr>
        <w:t>（1）乙方未在中标后一个月内未完成在</w:t>
      </w:r>
      <w:r>
        <w:rPr>
          <w:rFonts w:hint="eastAsia" w:ascii="宋体" w:hAnsi="宋体"/>
          <w:color w:val="000000"/>
          <w:sz w:val="24"/>
        </w:rPr>
        <w:t>常州范围内（不含武进区、金坛区、溧阳市）设有维修场地、维修人员、配件仓库、维修设备等</w:t>
      </w:r>
      <w:r>
        <w:rPr>
          <w:rFonts w:hint="eastAsia" w:ascii="宋体" w:hAnsi="宋体"/>
          <w:sz w:val="24"/>
        </w:rPr>
        <w:t>；</w:t>
      </w:r>
    </w:p>
    <w:p>
      <w:pPr>
        <w:ind w:firstLine="480" w:firstLineChars="200"/>
        <w:rPr>
          <w:rFonts w:ascii="宋体" w:hAnsi="宋体"/>
          <w:sz w:val="24"/>
        </w:rPr>
      </w:pPr>
      <w:r>
        <w:rPr>
          <w:rFonts w:hint="eastAsia" w:ascii="宋体" w:hAnsi="宋体"/>
          <w:sz w:val="24"/>
        </w:rPr>
        <w:t>（2）乙方超出规定时间仍未完成维修任务并导致甲方发生运行事故；</w:t>
      </w:r>
    </w:p>
    <w:p>
      <w:pPr>
        <w:ind w:firstLine="480" w:firstLineChars="200"/>
        <w:rPr>
          <w:rFonts w:ascii="宋体" w:hAnsi="宋体"/>
          <w:sz w:val="24"/>
        </w:rPr>
      </w:pPr>
      <w:r>
        <w:rPr>
          <w:rFonts w:hint="eastAsia" w:ascii="宋体" w:hAnsi="宋体"/>
          <w:sz w:val="24"/>
        </w:rPr>
        <w:t>（4）乙方连续两次在服务质量考核中被判为不合格；</w:t>
      </w:r>
    </w:p>
    <w:p>
      <w:pPr>
        <w:ind w:firstLine="480" w:firstLineChars="200"/>
        <w:rPr>
          <w:rFonts w:ascii="宋体" w:hAnsi="宋体"/>
          <w:sz w:val="24"/>
        </w:rPr>
      </w:pPr>
      <w:r>
        <w:rPr>
          <w:rFonts w:hint="eastAsia" w:ascii="宋体" w:hAnsi="宋体"/>
          <w:sz w:val="24"/>
        </w:rPr>
        <w:t>（5）乙方投标文件有其他严重不实的承诺以及其他弄虚作假情况的；</w:t>
      </w:r>
    </w:p>
    <w:p>
      <w:pPr>
        <w:ind w:firstLine="480" w:firstLineChars="200"/>
        <w:rPr>
          <w:rFonts w:ascii="宋体" w:hAnsi="宋体"/>
          <w:sz w:val="24"/>
        </w:rPr>
      </w:pPr>
      <w:r>
        <w:rPr>
          <w:rFonts w:hint="eastAsia" w:ascii="宋体" w:hAnsi="宋体"/>
          <w:sz w:val="24"/>
        </w:rPr>
        <w:t>（6）乙方与采购人签订合同后，不遵守或未完全遵守合同招标要求、投标承诺，经甲方要求整改两次后仍未能及时解决；</w:t>
      </w:r>
    </w:p>
    <w:p>
      <w:pPr>
        <w:ind w:firstLine="480" w:firstLineChars="200"/>
        <w:rPr>
          <w:rFonts w:ascii="宋体" w:hAnsi="宋体"/>
          <w:sz w:val="24"/>
        </w:rPr>
      </w:pPr>
      <w:r>
        <w:rPr>
          <w:rFonts w:hint="eastAsia" w:ascii="宋体" w:hAnsi="宋体"/>
          <w:sz w:val="24"/>
        </w:rPr>
        <w:t>（7）乙方擅自或变相提高中标价格的；</w:t>
      </w:r>
    </w:p>
    <w:p>
      <w:pPr>
        <w:ind w:firstLine="480" w:firstLineChars="200"/>
        <w:rPr>
          <w:rFonts w:ascii="宋体" w:hAnsi="宋体"/>
          <w:sz w:val="24"/>
        </w:rPr>
      </w:pPr>
      <w:r>
        <w:rPr>
          <w:rFonts w:hint="eastAsia" w:ascii="宋体" w:hAnsi="宋体"/>
          <w:sz w:val="24"/>
        </w:rPr>
        <w:t>（8）乙方未履行投标时服务承诺的；</w:t>
      </w:r>
    </w:p>
    <w:p>
      <w:pPr>
        <w:pStyle w:val="5"/>
        <w:overflowPunct w:val="0"/>
        <w:ind w:firstLine="480"/>
        <w:rPr>
          <w:rFonts w:ascii="宋体" w:hAnsi="宋体" w:cs="宋体"/>
          <w:szCs w:val="24"/>
        </w:rPr>
      </w:pPr>
      <w:r>
        <w:rPr>
          <w:rFonts w:hint="eastAsia" w:ascii="宋体" w:hAnsi="宋体"/>
        </w:rPr>
        <w:t>（9）其他违反本合同的情况。</w:t>
      </w:r>
    </w:p>
    <w:p>
      <w:pPr>
        <w:ind w:firstLine="482" w:firstLineChars="200"/>
        <w:rPr>
          <w:rFonts w:ascii="宋体" w:hAnsi="宋体"/>
          <w:b/>
          <w:sz w:val="24"/>
        </w:rPr>
      </w:pPr>
      <w:r>
        <w:rPr>
          <w:rFonts w:hint="eastAsia" w:ascii="宋体" w:hAnsi="宋体"/>
          <w:b/>
          <w:sz w:val="24"/>
        </w:rPr>
        <w:t>15.合同纠纷处理</w:t>
      </w:r>
    </w:p>
    <w:p>
      <w:pPr>
        <w:ind w:firstLine="480" w:firstLineChars="200"/>
        <w:rPr>
          <w:rFonts w:ascii="宋体" w:hAnsi="宋体"/>
          <w:b/>
          <w:sz w:val="24"/>
        </w:rPr>
      </w:pPr>
      <w:r>
        <w:rPr>
          <w:rFonts w:hint="eastAsia" w:ascii="宋体" w:hAnsi="宋体"/>
          <w:sz w:val="24"/>
        </w:rPr>
        <w:t>本合同在具体履行过程中所发生的合同纠纷，由甲方与乙方协商解决，协商不成可向常州市天宁区人民法院提出诉讼</w:t>
      </w:r>
    </w:p>
    <w:p>
      <w:pPr>
        <w:ind w:firstLine="482" w:firstLineChars="200"/>
        <w:rPr>
          <w:rFonts w:ascii="宋体" w:hAnsi="宋体"/>
          <w:b/>
          <w:sz w:val="24"/>
        </w:rPr>
      </w:pPr>
      <w:r>
        <w:rPr>
          <w:rFonts w:hint="eastAsia" w:ascii="宋体" w:hAnsi="宋体"/>
          <w:b/>
          <w:sz w:val="24"/>
        </w:rPr>
        <w:t>16、转让</w:t>
      </w:r>
    </w:p>
    <w:p>
      <w:pPr>
        <w:ind w:firstLine="480" w:firstLineChars="200"/>
        <w:rPr>
          <w:rFonts w:ascii="宋体" w:hAnsi="宋体"/>
          <w:sz w:val="24"/>
        </w:rPr>
      </w:pPr>
      <w:r>
        <w:rPr>
          <w:rFonts w:hint="eastAsia" w:ascii="宋体" w:hAnsi="宋体"/>
          <w:sz w:val="24"/>
        </w:rPr>
        <w:t>乙方不得转让任何其应履行的合同义务。</w:t>
      </w:r>
    </w:p>
    <w:p>
      <w:pPr>
        <w:ind w:firstLine="482" w:firstLineChars="200"/>
        <w:rPr>
          <w:rFonts w:ascii="宋体" w:hAnsi="宋体"/>
          <w:b/>
          <w:sz w:val="24"/>
        </w:rPr>
      </w:pPr>
      <w:r>
        <w:rPr>
          <w:rFonts w:hint="eastAsia" w:ascii="宋体" w:hAnsi="宋体"/>
          <w:b/>
          <w:sz w:val="24"/>
        </w:rPr>
        <w:t>17. 合同有效期</w:t>
      </w:r>
    </w:p>
    <w:p>
      <w:pPr>
        <w:ind w:firstLine="480" w:firstLineChars="200"/>
        <w:rPr>
          <w:rFonts w:ascii="宋体" w:hAnsi="宋体"/>
          <w:bCs/>
          <w:sz w:val="24"/>
        </w:rPr>
      </w:pPr>
      <w:r>
        <w:rPr>
          <w:rFonts w:hint="eastAsia" w:ascii="宋体" w:hAnsi="宋体"/>
          <w:bCs/>
          <w:sz w:val="24"/>
        </w:rPr>
        <w:t>本合同的有效期为自年月日起至年月日。</w:t>
      </w:r>
    </w:p>
    <w:p>
      <w:pPr>
        <w:ind w:firstLine="482" w:firstLineChars="200"/>
        <w:rPr>
          <w:rFonts w:ascii="宋体" w:hAnsi="宋体"/>
          <w:b/>
          <w:sz w:val="24"/>
        </w:rPr>
      </w:pPr>
      <w:r>
        <w:rPr>
          <w:rFonts w:hint="eastAsia" w:ascii="宋体" w:hAnsi="宋体"/>
          <w:b/>
          <w:sz w:val="24"/>
        </w:rPr>
        <w:t>18. 合同生效及其它</w:t>
      </w:r>
    </w:p>
    <w:p>
      <w:pPr>
        <w:ind w:firstLine="480" w:firstLineChars="200"/>
        <w:rPr>
          <w:rFonts w:ascii="宋体" w:hAnsi="宋体"/>
          <w:sz w:val="24"/>
        </w:rPr>
      </w:pPr>
      <w:r>
        <w:rPr>
          <w:rFonts w:hint="eastAsia" w:ascii="宋体" w:hAnsi="宋体"/>
          <w:sz w:val="24"/>
        </w:rPr>
        <w:t>18.1本合同经甲方、乙方双方签字盖章，并交纳履约保证金，由集中采购机构鉴证后生效。</w:t>
      </w:r>
    </w:p>
    <w:p>
      <w:pPr>
        <w:ind w:firstLine="480" w:firstLineChars="200"/>
        <w:rPr>
          <w:rFonts w:ascii="宋体" w:hAnsi="宋体"/>
          <w:sz w:val="24"/>
        </w:rPr>
      </w:pPr>
      <w:r>
        <w:rPr>
          <w:rFonts w:hint="eastAsia" w:ascii="宋体" w:hAnsi="宋体"/>
          <w:sz w:val="24"/>
        </w:rPr>
        <w:t>18.2 本合同一式陆份，以中文书写，</w:t>
      </w:r>
      <w:r>
        <w:rPr>
          <w:rFonts w:hint="eastAsia" w:hAnsi="宋体"/>
          <w:sz w:val="24"/>
        </w:rPr>
        <w:t>甲方、乙方、集中采购机构各执贰份</w:t>
      </w:r>
      <w:r>
        <w:rPr>
          <w:rFonts w:hint="eastAsia" w:ascii="宋体" w:hAnsi="宋体"/>
          <w:sz w:val="24"/>
        </w:rPr>
        <w:t>。</w:t>
      </w:r>
    </w:p>
    <w:p>
      <w:pPr>
        <w:ind w:firstLine="480" w:firstLineChars="200"/>
        <w:rPr>
          <w:rFonts w:ascii="宋体" w:hAnsi="宋体"/>
          <w:sz w:val="24"/>
        </w:rPr>
      </w:pPr>
      <w:r>
        <w:rPr>
          <w:rFonts w:hint="eastAsia" w:ascii="宋体" w:hAnsi="宋体" w:cs="Arial"/>
          <w:bCs/>
          <w:sz w:val="24"/>
        </w:rPr>
        <w:t xml:space="preserve">18.3 </w:t>
      </w:r>
      <w:r>
        <w:rPr>
          <w:rFonts w:hint="eastAsia" w:ascii="宋体" w:hAnsi="宋体"/>
          <w:sz w:val="24"/>
        </w:rPr>
        <w:t>如需修改或补充合同内容，应经甲方、乙方协商，共同签署书面修改或补充协议，经集中采购机构鉴证后生效。该协议将作为本合同不可分割的一部分。</w:t>
      </w:r>
    </w:p>
    <w:p>
      <w:pPr>
        <w:ind w:firstLine="480" w:firstLineChars="200"/>
        <w:rPr>
          <w:rFonts w:ascii="宋体" w:hAnsi="宋体"/>
          <w:sz w:val="24"/>
        </w:rPr>
      </w:pPr>
      <w:r>
        <w:rPr>
          <w:rFonts w:hint="eastAsia" w:ascii="宋体" w:hAnsi="宋体" w:cs="Arial"/>
          <w:bCs/>
          <w:sz w:val="24"/>
        </w:rPr>
        <w:t>18.4</w:t>
      </w:r>
      <w:r>
        <w:rPr>
          <w:rFonts w:hint="eastAsia" w:ascii="宋体" w:hAnsi="宋体"/>
          <w:bCs/>
          <w:sz w:val="24"/>
        </w:rPr>
        <w:t>采购部门或甲方将</w:t>
      </w:r>
      <w:r>
        <w:rPr>
          <w:rFonts w:hint="eastAsia" w:ascii="宋体" w:hAnsi="宋体"/>
          <w:sz w:val="24"/>
        </w:rPr>
        <w:t>对乙方的合同执行情况进行检查，一旦发现违反本合同条款的情形，将采取以下一种或几种方式同时并处的形式追究乙方违约责任：</w:t>
      </w:r>
    </w:p>
    <w:p>
      <w:pPr>
        <w:ind w:firstLine="480" w:firstLineChars="200"/>
        <w:rPr>
          <w:rFonts w:ascii="宋体" w:hAnsi="宋体"/>
          <w:sz w:val="24"/>
        </w:rPr>
      </w:pPr>
      <w:r>
        <w:rPr>
          <w:rFonts w:hint="eastAsia" w:ascii="宋体" w:hAnsi="宋体"/>
          <w:sz w:val="24"/>
        </w:rPr>
        <w:t>（1）暂停或取消乙方的中标资格、中止或终止与乙方签订的合同；</w:t>
      </w:r>
    </w:p>
    <w:p>
      <w:pPr>
        <w:ind w:firstLine="480" w:firstLineChars="200"/>
        <w:rPr>
          <w:rFonts w:ascii="宋体" w:hAnsi="宋体"/>
          <w:sz w:val="24"/>
        </w:rPr>
      </w:pPr>
      <w:r>
        <w:rPr>
          <w:rFonts w:hint="eastAsia" w:ascii="宋体" w:hAnsi="宋体"/>
          <w:sz w:val="24"/>
        </w:rPr>
        <w:t>（2）要求乙方支付不高于履约保证金数额的违约金；</w:t>
      </w:r>
    </w:p>
    <w:p>
      <w:pPr>
        <w:ind w:firstLine="480" w:firstLineChars="200"/>
        <w:rPr>
          <w:rFonts w:ascii="宋体" w:hAnsi="宋体"/>
          <w:sz w:val="24"/>
        </w:rPr>
      </w:pPr>
      <w:r>
        <w:rPr>
          <w:rFonts w:hint="eastAsia" w:ascii="宋体" w:hAnsi="宋体"/>
          <w:sz w:val="24"/>
        </w:rPr>
        <w:t>（3）三年内不得参与甲方任何有关政府采购、服务的招标项目；</w:t>
      </w:r>
    </w:p>
    <w:p>
      <w:pPr>
        <w:ind w:firstLine="480" w:firstLineChars="200"/>
        <w:rPr>
          <w:rFonts w:ascii="宋体" w:hAnsi="宋体"/>
          <w:sz w:val="24"/>
        </w:rPr>
      </w:pPr>
      <w:r>
        <w:rPr>
          <w:rFonts w:hint="eastAsia" w:ascii="宋体" w:hAnsi="宋体"/>
          <w:sz w:val="24"/>
        </w:rPr>
        <w:t>（4）在下一期定点服务招标、评标中给予适当扣分。</w:t>
      </w:r>
    </w:p>
    <w:p>
      <w:pPr>
        <w:widowControl/>
        <w:ind w:firstLine="480" w:firstLineChars="200"/>
        <w:rPr>
          <w:rFonts w:ascii="宋体" w:hAnsi="宋体"/>
          <w:sz w:val="24"/>
        </w:rPr>
      </w:pPr>
      <w:r>
        <w:rPr>
          <w:rFonts w:hint="eastAsia" w:ascii="宋体" w:hAnsi="宋体"/>
          <w:sz w:val="24"/>
        </w:rPr>
        <w:t>18.5本合同应按照中华人民共和国的现行法律进行解释。</w:t>
      </w:r>
    </w:p>
    <w:p>
      <w:pPr>
        <w:widowControl/>
        <w:ind w:firstLine="482" w:firstLineChars="200"/>
        <w:rPr>
          <w:rFonts w:ascii="宋体" w:hAnsi="宋体"/>
          <w:b/>
          <w:sz w:val="24"/>
        </w:rPr>
      </w:pPr>
      <w:r>
        <w:rPr>
          <w:rFonts w:hint="eastAsia" w:ascii="宋体" w:hAnsi="宋体"/>
          <w:b/>
          <w:sz w:val="24"/>
        </w:rPr>
        <w:t>19.与本合同不可分割的附件</w:t>
      </w:r>
    </w:p>
    <w:p>
      <w:pPr>
        <w:widowControl/>
        <w:ind w:firstLine="480" w:firstLineChars="200"/>
        <w:rPr>
          <w:rFonts w:ascii="宋体" w:hAnsi="宋体"/>
          <w:sz w:val="24"/>
        </w:rPr>
      </w:pPr>
      <w:r>
        <w:rPr>
          <w:rFonts w:hint="eastAsia" w:ascii="宋体" w:hAnsi="宋体"/>
          <w:sz w:val="24"/>
        </w:rPr>
        <w:t>19.1常州市连城管道网络有限公司《机电设备发外维保验收记录表》</w:t>
      </w:r>
    </w:p>
    <w:p>
      <w:pPr>
        <w:widowControl/>
        <w:ind w:firstLine="480" w:firstLineChars="200"/>
        <w:rPr>
          <w:rFonts w:ascii="宋体" w:hAnsi="宋体"/>
          <w:sz w:val="24"/>
        </w:rPr>
      </w:pPr>
      <w:r>
        <w:rPr>
          <w:rFonts w:hint="eastAsia" w:ascii="宋体" w:hAnsi="宋体"/>
          <w:sz w:val="24"/>
        </w:rPr>
        <w:t>19.2常州市连城管道网络有限公司《机电设备定期保养内容确认表》</w:t>
      </w:r>
    </w:p>
    <w:p>
      <w:pPr>
        <w:widowControl/>
        <w:ind w:firstLine="480" w:firstLineChars="200"/>
        <w:rPr>
          <w:rFonts w:ascii="宋体" w:hAnsi="宋体"/>
          <w:sz w:val="24"/>
        </w:rPr>
      </w:pPr>
      <w:r>
        <w:rPr>
          <w:rFonts w:hint="eastAsia" w:ascii="宋体" w:hAnsi="宋体"/>
          <w:sz w:val="24"/>
        </w:rPr>
        <w:t>19.3常州市连城管道网络有限公司《机电设备维修内容确认表》</w:t>
      </w:r>
    </w:p>
    <w:p>
      <w:pPr>
        <w:widowControl/>
        <w:ind w:firstLine="480" w:firstLineChars="200"/>
        <w:rPr>
          <w:rFonts w:ascii="宋体" w:hAnsi="宋体"/>
          <w:sz w:val="24"/>
        </w:rPr>
      </w:pPr>
      <w:r>
        <w:rPr>
          <w:rFonts w:hint="eastAsia" w:ascii="宋体" w:hAnsi="宋体"/>
          <w:sz w:val="24"/>
        </w:rPr>
        <w:t>19.4常州市连城管道网络有限公司《机电设备维修及定期保养考核表》</w:t>
      </w:r>
    </w:p>
    <w:p>
      <w:pPr>
        <w:widowControl/>
        <w:ind w:firstLine="480" w:firstLineChars="200"/>
        <w:rPr>
          <w:rFonts w:ascii="宋体" w:hAnsi="宋体"/>
          <w:sz w:val="24"/>
        </w:rPr>
      </w:pPr>
      <w:r>
        <w:rPr>
          <w:rFonts w:hint="eastAsia" w:ascii="宋体" w:hAnsi="宋体"/>
          <w:sz w:val="24"/>
        </w:rPr>
        <w:t>19.5《安全生产协议》</w:t>
      </w:r>
    </w:p>
    <w:p>
      <w:pPr>
        <w:pStyle w:val="18"/>
        <w:rPr>
          <w:rFonts w:ascii="宋体" w:hAnsi="宋体"/>
          <w:sz w:val="24"/>
        </w:rPr>
      </w:pPr>
    </w:p>
    <w:p>
      <w:pPr>
        <w:pStyle w:val="18"/>
        <w:ind w:firstLine="960" w:firstLineChars="400"/>
        <w:rPr>
          <w:rFonts w:ascii="宋体" w:hAnsi="宋体"/>
          <w:sz w:val="24"/>
        </w:rPr>
      </w:pPr>
      <w:r>
        <w:rPr>
          <w:rFonts w:hint="eastAsia" w:ascii="宋体" w:hAnsi="宋体"/>
          <w:sz w:val="24"/>
        </w:rPr>
        <w:t>甲方(盖公章):                               乙方(盖公章):</w:t>
      </w:r>
    </w:p>
    <w:p>
      <w:pPr>
        <w:pStyle w:val="18"/>
        <w:ind w:firstLine="960" w:firstLineChars="400"/>
        <w:rPr>
          <w:rFonts w:ascii="宋体" w:hAnsi="宋体"/>
          <w:sz w:val="24"/>
        </w:rPr>
      </w:pPr>
      <w:r>
        <w:rPr>
          <w:rFonts w:hint="eastAsia" w:ascii="宋体" w:hAnsi="宋体"/>
          <w:sz w:val="24"/>
        </w:rPr>
        <w:t>法定代表人：                                法定代表人:</w:t>
      </w:r>
    </w:p>
    <w:p>
      <w:pPr>
        <w:pStyle w:val="18"/>
        <w:ind w:firstLine="960" w:firstLineChars="400"/>
        <w:rPr>
          <w:rFonts w:ascii="宋体" w:hAnsi="宋体"/>
          <w:sz w:val="24"/>
        </w:rPr>
      </w:pPr>
      <w:r>
        <w:rPr>
          <w:rFonts w:hint="eastAsia" w:ascii="宋体" w:hAnsi="宋体"/>
          <w:sz w:val="24"/>
        </w:rPr>
        <w:t>代理人:                                     代理人:</w:t>
      </w:r>
    </w:p>
    <w:p>
      <w:pPr>
        <w:pStyle w:val="18"/>
        <w:ind w:left="481" w:leftChars="229" w:firstLine="480" w:firstLineChars="200"/>
        <w:rPr>
          <w:rFonts w:ascii="宋体" w:hAnsi="宋体"/>
          <w:sz w:val="24"/>
        </w:rPr>
      </w:pPr>
      <w:r>
        <w:rPr>
          <w:rFonts w:hint="eastAsia" w:ascii="宋体" w:hAnsi="宋体"/>
          <w:sz w:val="24"/>
        </w:rPr>
        <w:t>经办人:                                     电话:</w:t>
      </w:r>
    </w:p>
    <w:p>
      <w:pPr>
        <w:pStyle w:val="18"/>
        <w:ind w:firstLine="960" w:firstLineChars="400"/>
        <w:rPr>
          <w:rFonts w:ascii="宋体" w:hAnsi="宋体"/>
          <w:sz w:val="24"/>
        </w:rPr>
      </w:pPr>
      <w:r>
        <w:rPr>
          <w:rFonts w:hint="eastAsia" w:ascii="宋体" w:hAnsi="宋体"/>
          <w:sz w:val="24"/>
        </w:rPr>
        <w:t>电话:                                       开户银行：</w:t>
      </w:r>
    </w:p>
    <w:p>
      <w:pPr>
        <w:pStyle w:val="18"/>
        <w:ind w:firstLine="960" w:firstLineChars="400"/>
        <w:rPr>
          <w:rFonts w:ascii="宋体" w:hAnsi="宋体"/>
          <w:sz w:val="24"/>
        </w:rPr>
      </w:pPr>
      <w:r>
        <w:rPr>
          <w:rFonts w:hint="eastAsia" w:ascii="宋体" w:hAnsi="宋体"/>
          <w:sz w:val="24"/>
        </w:rPr>
        <w:t xml:space="preserve">                                            银行帐号：</w:t>
      </w:r>
    </w:p>
    <w:p>
      <w:pPr>
        <w:widowControl/>
        <w:spacing w:line="440" w:lineRule="exact"/>
        <w:ind w:firstLine="640" w:firstLineChars="200"/>
        <w:rPr>
          <w:color w:val="FF0000"/>
          <w:sz w:val="32"/>
          <w:szCs w:val="32"/>
        </w:rPr>
        <w:sectPr>
          <w:pgSz w:w="11906" w:h="16838"/>
          <w:pgMar w:top="1440" w:right="1797" w:bottom="1440" w:left="1797" w:header="851" w:footer="992" w:gutter="0"/>
          <w:cols w:space="720" w:num="1"/>
          <w:docGrid w:type="lines" w:linePitch="312" w:charSpace="0"/>
        </w:sectPr>
      </w:pPr>
    </w:p>
    <w:p>
      <w:pPr>
        <w:tabs>
          <w:tab w:val="left" w:pos="765"/>
        </w:tabs>
        <w:spacing w:line="360" w:lineRule="auto"/>
        <w:ind w:firstLine="420"/>
        <w:jc w:val="center"/>
        <w:rPr>
          <w:rFonts w:ascii="宋体" w:hAnsi="宋体"/>
          <w:color w:val="000000"/>
          <w:szCs w:val="21"/>
        </w:rPr>
      </w:pPr>
      <w:r>
        <w:rPr>
          <w:rFonts w:hint="eastAsia" w:ascii="宋体" w:hAnsi="宋体"/>
          <w:b/>
          <w:color w:val="000000"/>
          <w:sz w:val="32"/>
          <w:szCs w:val="32"/>
        </w:rPr>
        <w:t>表1：机电设备发外维保验收记录表</w:t>
      </w:r>
      <w:r>
        <w:rPr>
          <w:rFonts w:hint="eastAsia" w:ascii="宋体" w:hAnsi="宋体"/>
          <w:color w:val="000000"/>
          <w:szCs w:val="21"/>
        </w:rPr>
        <w:t>编号：</w:t>
      </w:r>
    </w:p>
    <w:tbl>
      <w:tblPr>
        <w:tblStyle w:val="58"/>
        <w:tblW w:w="14840" w:type="dxa"/>
        <w:tblInd w:w="96" w:type="dxa"/>
        <w:tblLayout w:type="fixed"/>
        <w:tblCellMar>
          <w:top w:w="0" w:type="dxa"/>
          <w:left w:w="108" w:type="dxa"/>
          <w:bottom w:w="0" w:type="dxa"/>
          <w:right w:w="108" w:type="dxa"/>
        </w:tblCellMar>
      </w:tblPr>
      <w:tblGrid>
        <w:gridCol w:w="1520"/>
        <w:gridCol w:w="1400"/>
        <w:gridCol w:w="1880"/>
        <w:gridCol w:w="1250"/>
        <w:gridCol w:w="1250"/>
        <w:gridCol w:w="1880"/>
        <w:gridCol w:w="1486"/>
        <w:gridCol w:w="1194"/>
        <w:gridCol w:w="1880"/>
        <w:gridCol w:w="1100"/>
      </w:tblGrid>
      <w:tr>
        <w:tblPrEx>
          <w:tblLayout w:type="fixed"/>
          <w:tblCellMar>
            <w:top w:w="0" w:type="dxa"/>
            <w:left w:w="108" w:type="dxa"/>
            <w:bottom w:w="0" w:type="dxa"/>
            <w:right w:w="108" w:type="dxa"/>
          </w:tblCellMar>
        </w:tblPrEx>
        <w:trPr>
          <w:trHeight w:val="399" w:hRule="atLeast"/>
        </w:trPr>
        <w:tc>
          <w:tcPr>
            <w:tcW w:w="152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使用部门</w:t>
            </w:r>
          </w:p>
        </w:tc>
        <w:tc>
          <w:tcPr>
            <w:tcW w:w="140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使用地点</w:t>
            </w:r>
          </w:p>
        </w:tc>
        <w:tc>
          <w:tcPr>
            <w:tcW w:w="250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规格型号</w:t>
            </w:r>
          </w:p>
        </w:tc>
        <w:tc>
          <w:tcPr>
            <w:tcW w:w="2680" w:type="dxa"/>
            <w:gridSpan w:val="2"/>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p>
        </w:tc>
        <w:tc>
          <w:tcPr>
            <w:tcW w:w="188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发外时间</w:t>
            </w:r>
          </w:p>
        </w:tc>
        <w:tc>
          <w:tcPr>
            <w:tcW w:w="110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52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400"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8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现场编号</w:t>
            </w:r>
          </w:p>
        </w:tc>
        <w:tc>
          <w:tcPr>
            <w:tcW w:w="2500"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出厂编号</w:t>
            </w:r>
          </w:p>
        </w:tc>
        <w:tc>
          <w:tcPr>
            <w:tcW w:w="1486"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p>
        </w:tc>
        <w:tc>
          <w:tcPr>
            <w:tcW w:w="119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计价分类</w:t>
            </w:r>
          </w:p>
        </w:tc>
        <w:tc>
          <w:tcPr>
            <w:tcW w:w="18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    泵</w:t>
            </w:r>
          </w:p>
        </w:tc>
        <w:tc>
          <w:tcPr>
            <w:tcW w:w="1100" w:type="dxa"/>
            <w:tcBorders>
              <w:top w:val="nil"/>
              <w:left w:val="nil"/>
              <w:bottom w:val="nil"/>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   KW</w:t>
            </w:r>
          </w:p>
        </w:tc>
      </w:tr>
      <w:tr>
        <w:tblPrEx>
          <w:tblLayout w:type="fixed"/>
          <w:tblCellMar>
            <w:top w:w="0" w:type="dxa"/>
            <w:left w:w="108" w:type="dxa"/>
            <w:bottom w:w="0" w:type="dxa"/>
            <w:right w:w="108" w:type="dxa"/>
          </w:tblCellMar>
        </w:tblPrEx>
        <w:trPr>
          <w:trHeight w:val="399" w:hRule="atLeast"/>
        </w:trPr>
        <w:tc>
          <w:tcPr>
            <w:tcW w:w="15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维保内容</w:t>
            </w:r>
            <w:r>
              <w:rPr>
                <w:rFonts w:hint="eastAsia" w:ascii="宋体" w:hAnsi="宋体" w:cs="宋体"/>
                <w:kern w:val="0"/>
                <w:sz w:val="24"/>
              </w:rPr>
              <w:br w:type="textWrapping"/>
            </w:r>
            <w:r>
              <w:rPr>
                <w:rFonts w:hint="eastAsia" w:ascii="宋体" w:hAnsi="宋体" w:cs="宋体"/>
                <w:kern w:val="0"/>
                <w:sz w:val="24"/>
              </w:rPr>
              <w:t>签证</w:t>
            </w:r>
          </w:p>
        </w:tc>
        <w:tc>
          <w:tcPr>
            <w:tcW w:w="140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188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规格型号</w:t>
            </w:r>
          </w:p>
        </w:tc>
        <w:tc>
          <w:tcPr>
            <w:tcW w:w="125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w:t>
            </w:r>
          </w:p>
        </w:tc>
        <w:tc>
          <w:tcPr>
            <w:tcW w:w="125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188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规格型号</w:t>
            </w:r>
          </w:p>
        </w:tc>
        <w:tc>
          <w:tcPr>
            <w:tcW w:w="1486"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规格型号</w:t>
            </w:r>
          </w:p>
        </w:tc>
        <w:tc>
          <w:tcPr>
            <w:tcW w:w="110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Layout w:type="fixed"/>
          <w:tblCellMar>
            <w:top w:w="0" w:type="dxa"/>
            <w:left w:w="108" w:type="dxa"/>
            <w:bottom w:w="0" w:type="dxa"/>
            <w:right w:w="108" w:type="dxa"/>
          </w:tblCellMar>
        </w:tblPrEx>
        <w:trPr>
          <w:trHeight w:val="399" w:hRule="atLeast"/>
        </w:trPr>
        <w:tc>
          <w:tcPr>
            <w:tcW w:w="1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5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486"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5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486"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5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486"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5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486"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40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4"/>
              </w:rPr>
            </w:pPr>
          </w:p>
        </w:tc>
        <w:tc>
          <w:tcPr>
            <w:tcW w:w="12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p>
        </w:tc>
        <w:tc>
          <w:tcPr>
            <w:tcW w:w="125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4"/>
              </w:rPr>
            </w:pPr>
          </w:p>
        </w:tc>
        <w:tc>
          <w:tcPr>
            <w:tcW w:w="14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00" w:hRule="atLeast"/>
        </w:trPr>
        <w:tc>
          <w:tcPr>
            <w:tcW w:w="7300" w:type="dxa"/>
            <w:gridSpan w:val="5"/>
            <w:tcBorders>
              <w:top w:val="nil"/>
              <w:left w:val="single" w:color="auto" w:sz="8" w:space="0"/>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部门经办人：</w:t>
            </w:r>
          </w:p>
        </w:tc>
        <w:tc>
          <w:tcPr>
            <w:tcW w:w="7540" w:type="dxa"/>
            <w:gridSpan w:val="5"/>
            <w:tcBorders>
              <w:top w:val="nil"/>
              <w:left w:val="nil"/>
              <w:bottom w:val="single" w:color="auto" w:sz="4" w:space="0"/>
              <w:right w:val="single" w:color="000000"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维保单位经办人：</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维保周期：        </w:t>
            </w:r>
          </w:p>
        </w:tc>
        <w:tc>
          <w:tcPr>
            <w:tcW w:w="13320" w:type="dxa"/>
            <w:gridSpan w:val="9"/>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   月   日  ---          年    月    日</w:t>
            </w:r>
          </w:p>
        </w:tc>
      </w:tr>
      <w:tr>
        <w:tblPrEx>
          <w:tblLayout w:type="fixed"/>
          <w:tblCellMar>
            <w:top w:w="0" w:type="dxa"/>
            <w:left w:w="108" w:type="dxa"/>
            <w:bottom w:w="0" w:type="dxa"/>
            <w:right w:w="108" w:type="dxa"/>
          </w:tblCellMar>
        </w:tblPrEx>
        <w:trPr>
          <w:trHeight w:val="312" w:hRule="atLeast"/>
        </w:trPr>
        <w:tc>
          <w:tcPr>
            <w:tcW w:w="14840" w:type="dxa"/>
            <w:gridSpan w:val="10"/>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维保质量验收项目</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对地绝缘 </w:t>
            </w:r>
          </w:p>
        </w:tc>
        <w:tc>
          <w:tcPr>
            <w:tcW w:w="3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（≥50MΩ）</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相间绝缘            </w:t>
            </w:r>
          </w:p>
        </w:tc>
        <w:tc>
          <w:tcPr>
            <w:tcW w:w="3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（≥50MΩ）</w:t>
            </w:r>
          </w:p>
        </w:tc>
        <w:tc>
          <w:tcPr>
            <w:tcW w:w="5660"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热敏开关或电阻                          </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油腔绝缘              </w:t>
            </w:r>
          </w:p>
        </w:tc>
        <w:tc>
          <w:tcPr>
            <w:tcW w:w="3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（≥5MΩ）</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电机腔             </w:t>
            </w:r>
          </w:p>
        </w:tc>
        <w:tc>
          <w:tcPr>
            <w:tcW w:w="3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（≥5MΩ）</w:t>
            </w:r>
          </w:p>
        </w:tc>
        <w:tc>
          <w:tcPr>
            <w:tcW w:w="1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接线盒腔              </w:t>
            </w:r>
          </w:p>
        </w:tc>
        <w:tc>
          <w:tcPr>
            <w:tcW w:w="4174"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 （≥5MΩ）</w:t>
            </w:r>
          </w:p>
        </w:tc>
      </w:tr>
      <w:tr>
        <w:tblPrEx>
          <w:tblLayout w:type="fixed"/>
          <w:tblCellMar>
            <w:top w:w="0" w:type="dxa"/>
            <w:left w:w="108" w:type="dxa"/>
            <w:bottom w:w="0" w:type="dxa"/>
            <w:right w:w="108" w:type="dxa"/>
          </w:tblCellMar>
        </w:tblPrEx>
        <w:trPr>
          <w:trHeight w:val="312" w:hRule="atLeast"/>
        </w:trPr>
        <w:tc>
          <w:tcPr>
            <w:tcW w:w="1520"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运行电流                  </w:t>
            </w:r>
          </w:p>
        </w:tc>
        <w:tc>
          <w:tcPr>
            <w:tcW w:w="3280"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（A）</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运行流量               </w:t>
            </w:r>
          </w:p>
        </w:tc>
        <w:tc>
          <w:tcPr>
            <w:tcW w:w="3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（m3/h）</w:t>
            </w:r>
          </w:p>
        </w:tc>
        <w:tc>
          <w:tcPr>
            <w:tcW w:w="1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震动及声音 </w:t>
            </w:r>
          </w:p>
        </w:tc>
        <w:tc>
          <w:tcPr>
            <w:tcW w:w="4174"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正常（   ）          异常（   ）</w:t>
            </w:r>
          </w:p>
        </w:tc>
      </w:tr>
      <w:tr>
        <w:tblPrEx>
          <w:tblLayout w:type="fixed"/>
          <w:tblCellMar>
            <w:top w:w="0" w:type="dxa"/>
            <w:left w:w="108" w:type="dxa"/>
            <w:bottom w:w="0" w:type="dxa"/>
            <w:right w:w="108" w:type="dxa"/>
          </w:tblCellMar>
        </w:tblPrEx>
        <w:trPr>
          <w:trHeight w:val="402" w:hRule="atLeast"/>
        </w:trPr>
        <w:tc>
          <w:tcPr>
            <w:tcW w:w="14840" w:type="dxa"/>
            <w:gridSpan w:val="10"/>
            <w:tcBorders>
              <w:top w:val="single" w:color="auto" w:sz="4" w:space="0"/>
              <w:left w:val="single" w:color="auto" w:sz="8" w:space="0"/>
              <w:bottom w:val="single" w:color="auto" w:sz="4" w:space="0"/>
              <w:right w:val="single" w:color="000000"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泵试运行一周情况：</w:t>
            </w:r>
          </w:p>
        </w:tc>
      </w:tr>
      <w:tr>
        <w:tblPrEx>
          <w:tblLayout w:type="fixed"/>
          <w:tblCellMar>
            <w:top w:w="0" w:type="dxa"/>
            <w:left w:w="108" w:type="dxa"/>
            <w:bottom w:w="0" w:type="dxa"/>
            <w:right w:w="108" w:type="dxa"/>
          </w:tblCellMar>
        </w:tblPrEx>
        <w:trPr>
          <w:trHeight w:val="1398" w:hRule="atLeast"/>
        </w:trPr>
        <w:tc>
          <w:tcPr>
            <w:tcW w:w="2920"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试运行验收意见</w:t>
            </w:r>
          </w:p>
        </w:tc>
        <w:tc>
          <w:tcPr>
            <w:tcW w:w="11920" w:type="dxa"/>
            <w:gridSpan w:val="8"/>
            <w:tcBorders>
              <w:top w:val="single" w:color="auto" w:sz="4" w:space="0"/>
              <w:left w:val="nil"/>
              <w:bottom w:val="single" w:color="auto" w:sz="4" w:space="0"/>
              <w:right w:val="single" w:color="000000" w:sz="8"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部门经办人：                        部门负责人：                       日期：</w:t>
            </w:r>
          </w:p>
        </w:tc>
      </w:tr>
      <w:tr>
        <w:tblPrEx>
          <w:tblLayout w:type="fixed"/>
          <w:tblCellMar>
            <w:top w:w="0" w:type="dxa"/>
            <w:left w:w="108" w:type="dxa"/>
            <w:bottom w:w="0" w:type="dxa"/>
            <w:right w:w="108" w:type="dxa"/>
          </w:tblCellMar>
        </w:tblPrEx>
        <w:trPr>
          <w:trHeight w:val="1002" w:hRule="atLeast"/>
        </w:trPr>
        <w:tc>
          <w:tcPr>
            <w:tcW w:w="14840" w:type="dxa"/>
            <w:gridSpan w:val="10"/>
            <w:tcBorders>
              <w:top w:val="single" w:color="auto" w:sz="4" w:space="0"/>
              <w:left w:val="single" w:color="auto" w:sz="8" w:space="0"/>
              <w:bottom w:val="single" w:color="auto" w:sz="8" w:space="0"/>
              <w:right w:val="single" w:color="000000" w:sz="8" w:space="0"/>
            </w:tcBorders>
            <w:shd w:val="clear" w:color="auto" w:fill="auto"/>
          </w:tcPr>
          <w:p>
            <w:pPr>
              <w:widowControl/>
              <w:jc w:val="left"/>
              <w:rPr>
                <w:rFonts w:ascii="宋体" w:hAnsi="宋体" w:cs="宋体"/>
                <w:kern w:val="0"/>
                <w:sz w:val="24"/>
              </w:rPr>
            </w:pPr>
            <w:r>
              <w:rPr>
                <w:rFonts w:hint="eastAsia" w:ascii="宋体" w:hAnsi="宋体" w:cs="宋体"/>
                <w:kern w:val="0"/>
                <w:sz w:val="24"/>
              </w:rPr>
              <w:t>泵质保期内（一年）运行情况：</w:t>
            </w:r>
          </w:p>
        </w:tc>
      </w:tr>
    </w:tbl>
    <w:p>
      <w:pPr>
        <w:tabs>
          <w:tab w:val="left" w:pos="765"/>
        </w:tabs>
        <w:spacing w:line="360" w:lineRule="auto"/>
        <w:ind w:firstLine="420"/>
        <w:rPr>
          <w:rFonts w:ascii="宋体" w:hAnsi="宋体"/>
          <w:color w:val="000000"/>
          <w:sz w:val="24"/>
        </w:rPr>
      </w:pPr>
      <w:r>
        <w:rPr>
          <w:rFonts w:hint="eastAsia" w:ascii="宋体" w:hAnsi="宋体"/>
          <w:color w:val="000000"/>
          <w:sz w:val="24"/>
        </w:rPr>
        <w:t>说明：1、试运行验收合格，进行维保签证。2、验收不合格，按合同条款执行。</w:t>
      </w:r>
    </w:p>
    <w:p>
      <w:pPr>
        <w:spacing w:line="360" w:lineRule="auto"/>
        <w:ind w:firstLine="420"/>
        <w:jc w:val="center"/>
        <w:sectPr>
          <w:pgSz w:w="16838" w:h="11906" w:orient="landscape"/>
          <w:pgMar w:top="779" w:right="1440" w:bottom="624" w:left="1440" w:header="851" w:footer="992" w:gutter="0"/>
          <w:cols w:space="720" w:num="1"/>
          <w:docGrid w:type="linesAndChars" w:linePitch="312" w:charSpace="0"/>
        </w:sectPr>
      </w:pPr>
    </w:p>
    <w:tbl>
      <w:tblPr>
        <w:tblStyle w:val="58"/>
        <w:tblW w:w="9375" w:type="dxa"/>
        <w:tblInd w:w="0" w:type="dxa"/>
        <w:tblLayout w:type="fixed"/>
        <w:tblCellMar>
          <w:top w:w="15" w:type="dxa"/>
          <w:left w:w="15" w:type="dxa"/>
          <w:bottom w:w="15" w:type="dxa"/>
          <w:right w:w="15" w:type="dxa"/>
        </w:tblCellMar>
      </w:tblPr>
      <w:tblGrid>
        <w:gridCol w:w="632"/>
        <w:gridCol w:w="5760"/>
        <w:gridCol w:w="1543"/>
        <w:gridCol w:w="1440"/>
      </w:tblGrid>
      <w:tr>
        <w:tblPrEx>
          <w:tblLayout w:type="fixed"/>
          <w:tblCellMar>
            <w:top w:w="15" w:type="dxa"/>
            <w:left w:w="15" w:type="dxa"/>
            <w:bottom w:w="15" w:type="dxa"/>
            <w:right w:w="15" w:type="dxa"/>
          </w:tblCellMar>
        </w:tblPrEx>
        <w:trPr>
          <w:trHeight w:val="451" w:hRule="atLeast"/>
        </w:trPr>
        <w:tc>
          <w:tcPr>
            <w:tcW w:w="9375" w:type="dxa"/>
            <w:gridSpan w:val="4"/>
            <w:vAlign w:val="center"/>
          </w:tcPr>
          <w:p>
            <w:pPr>
              <w:widowControl/>
              <w:jc w:val="center"/>
              <w:textAlignment w:val="center"/>
              <w:rPr>
                <w:rFonts w:ascii="宋体" w:hAnsi="宋体" w:cs="宋体"/>
                <w:color w:val="000000"/>
                <w:szCs w:val="21"/>
              </w:rPr>
            </w:pPr>
            <w:r>
              <w:rPr>
                <w:rStyle w:val="334"/>
                <w:rFonts w:hint="default"/>
                <w:b/>
                <w:sz w:val="32"/>
                <w:szCs w:val="32"/>
              </w:rPr>
              <w:t>表2：机电设备定期保养内容确认表</w:t>
            </w:r>
            <w:r>
              <w:rPr>
                <w:rStyle w:val="329"/>
                <w:szCs w:val="21"/>
              </w:rPr>
              <w:t xml:space="preserve">  编号：</w:t>
            </w:r>
          </w:p>
        </w:tc>
      </w:tr>
      <w:tr>
        <w:tblPrEx>
          <w:tblLayout w:type="fixed"/>
          <w:tblCellMar>
            <w:top w:w="15" w:type="dxa"/>
            <w:left w:w="15" w:type="dxa"/>
            <w:bottom w:w="15" w:type="dxa"/>
            <w:right w:w="15" w:type="dxa"/>
          </w:tblCellMar>
        </w:tblPrEx>
        <w:trPr>
          <w:trHeight w:val="37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定期保养的内容及要求</w:t>
            </w:r>
          </w:p>
        </w:tc>
        <w:tc>
          <w:tcPr>
            <w:tcW w:w="1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检测结果</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是否执行维保</w:t>
            </w:r>
          </w:p>
        </w:tc>
      </w:tr>
      <w:tr>
        <w:tblPrEx>
          <w:tblLayout w:type="fixed"/>
          <w:tblCellMar>
            <w:top w:w="15" w:type="dxa"/>
            <w:left w:w="15" w:type="dxa"/>
            <w:bottom w:w="15" w:type="dxa"/>
            <w:right w:w="15" w:type="dxa"/>
          </w:tblCellMar>
        </w:tblPrEx>
        <w:trPr>
          <w:trHeight w:val="86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检测并记录机电设备运行时的三相电流值，电流不得大于机电设备额定电流，同时每相电流的差值不得大于5%。</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200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保养前后分别测量并记录电机及各腔室绝缘值，保养前机电设备热态时电机相间及对地绝缘值≥0.5MΩ或冷态时绝缘值≥2MΩ，机电设备维修保养过后的电机线圈冷态绝缘值应≥50MΩ；各腔室泄漏元件对地绝缘值保养后应≥5MΩ。如达不到上述指标，则报甲方决定是否进入维修程序。</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78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电机保养：对接线腔进行清理，紧固接线端子，电机冷态对地绝缘值＜50 MΩ的需对线圈进行浸漆烘干。</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75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更换全套机械密封，密封处泵轴如有磨损应报甲方决定是否进入维修程序。</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37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更换油腔室32#机械油。</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37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轴承添加润滑脂。</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37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更换全套橡胶密封件。</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37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紧固蜗壳与电机连接螺栓，紧固叶轮螺栓。</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71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吊泵检查叶轮的气蚀磨损情况及蜗壳密封环的磨损情况，如有异常应报甲方同意后更换。</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37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冷却水套清洗。</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37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对机电设备铸件表面进行除锈、油漆。</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75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560" w:firstLineChars="200"/>
              <w:textAlignment w:val="center"/>
              <w:rPr>
                <w:rFonts w:ascii="宋体" w:hAnsi="宋体" w:cs="宋体"/>
                <w:color w:val="000000"/>
                <w:szCs w:val="21"/>
              </w:rPr>
            </w:pPr>
            <w:r>
              <w:rPr>
                <w:rStyle w:val="340"/>
                <w:rFonts w:hint="default"/>
                <w:szCs w:val="21"/>
              </w:rPr>
              <w:t>测试所有传感器</w:t>
            </w:r>
            <w:r>
              <w:rPr>
                <w:rStyle w:val="330"/>
                <w:rFonts w:hint="default"/>
                <w:szCs w:val="21"/>
              </w:rPr>
              <w:t>，如有异常应报甲方决定是否进入维修程序。</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75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电缆线有无老化、破裂、鼓胀等现象，如有异常应报甲方决定是否进入维修程序。</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89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在发外保养前运行并观察机电设备的振动情况，如震动异常则报甲方决定是否进入维修程序。</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54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检查起吊链条的完好性，不完好的应报甲方同意后更换。</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375" w:hRule="atLeast"/>
        </w:trPr>
        <w:tc>
          <w:tcPr>
            <w:tcW w:w="937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甲方：                               乙方：</w:t>
            </w:r>
          </w:p>
        </w:tc>
      </w:tr>
    </w:tbl>
    <w:p>
      <w:pPr>
        <w:widowControl/>
        <w:jc w:val="left"/>
        <w:textAlignment w:val="center"/>
        <w:rPr>
          <w:rStyle w:val="329"/>
          <w:szCs w:val="21"/>
        </w:rPr>
      </w:pPr>
      <w:r>
        <w:rPr>
          <w:rStyle w:val="329"/>
          <w:szCs w:val="21"/>
        </w:rPr>
        <w:t>说明：</w:t>
      </w:r>
    </w:p>
    <w:p>
      <w:pPr>
        <w:widowControl/>
        <w:numPr>
          <w:ilvl w:val="0"/>
          <w:numId w:val="5"/>
        </w:numPr>
        <w:jc w:val="left"/>
        <w:textAlignment w:val="center"/>
        <w:rPr>
          <w:rStyle w:val="329"/>
          <w:szCs w:val="21"/>
        </w:rPr>
      </w:pPr>
      <w:r>
        <w:rPr>
          <w:rStyle w:val="329"/>
          <w:szCs w:val="21"/>
        </w:rPr>
        <w:t>本表的编号与常州市连城管道网络有限公司《</w:t>
      </w:r>
      <w:r>
        <w:rPr>
          <w:rStyle w:val="329"/>
          <w:rFonts w:hint="eastAsia"/>
          <w:szCs w:val="21"/>
        </w:rPr>
        <w:t>机电设备</w:t>
      </w:r>
      <w:r>
        <w:rPr>
          <w:rStyle w:val="329"/>
          <w:szCs w:val="21"/>
        </w:rPr>
        <w:t>发外维保及验收记录表》编号一致。</w:t>
      </w:r>
    </w:p>
    <w:p>
      <w:pPr>
        <w:spacing w:line="360" w:lineRule="auto"/>
        <w:rPr>
          <w:rFonts w:ascii="宋体" w:hAnsi="宋体"/>
          <w:b/>
          <w:color w:val="000000"/>
          <w:sz w:val="44"/>
          <w:szCs w:val="44"/>
        </w:rPr>
      </w:pPr>
      <w:r>
        <w:rPr>
          <w:rStyle w:val="329"/>
          <w:szCs w:val="21"/>
        </w:rPr>
        <w:t>2、保养内容不仅限于表中内容，可根据实际情况酌情增减。</w:t>
      </w:r>
    </w:p>
    <w:p/>
    <w:tbl>
      <w:tblPr>
        <w:tblStyle w:val="58"/>
        <w:tblW w:w="9443" w:type="dxa"/>
        <w:tblInd w:w="0" w:type="dxa"/>
        <w:tblLayout w:type="fixed"/>
        <w:tblCellMar>
          <w:top w:w="15" w:type="dxa"/>
          <w:left w:w="15" w:type="dxa"/>
          <w:bottom w:w="15" w:type="dxa"/>
          <w:right w:w="15" w:type="dxa"/>
        </w:tblCellMar>
      </w:tblPr>
      <w:tblGrid>
        <w:gridCol w:w="780"/>
        <w:gridCol w:w="5978"/>
        <w:gridCol w:w="1250"/>
        <w:gridCol w:w="1435"/>
      </w:tblGrid>
      <w:tr>
        <w:tblPrEx>
          <w:tblLayout w:type="fixed"/>
          <w:tblCellMar>
            <w:top w:w="15" w:type="dxa"/>
            <w:left w:w="15" w:type="dxa"/>
            <w:bottom w:w="15" w:type="dxa"/>
            <w:right w:w="15" w:type="dxa"/>
          </w:tblCellMar>
        </w:tblPrEx>
        <w:trPr>
          <w:trHeight w:val="606" w:hRule="atLeast"/>
        </w:trPr>
        <w:tc>
          <w:tcPr>
            <w:tcW w:w="9443" w:type="dxa"/>
            <w:gridSpan w:val="4"/>
            <w:vAlign w:val="center"/>
          </w:tcPr>
          <w:p>
            <w:pPr>
              <w:widowControl/>
              <w:jc w:val="center"/>
              <w:textAlignment w:val="center"/>
              <w:rPr>
                <w:rStyle w:val="334"/>
                <w:rFonts w:hint="default"/>
                <w:szCs w:val="21"/>
              </w:rPr>
            </w:pPr>
            <w:r>
              <w:rPr>
                <w:rStyle w:val="334"/>
                <w:rFonts w:hint="default"/>
                <w:b/>
                <w:sz w:val="32"/>
                <w:szCs w:val="32"/>
              </w:rPr>
              <w:t xml:space="preserve">   表3：机电设备维修内容确认表</w:t>
            </w:r>
            <w:r>
              <w:rPr>
                <w:rStyle w:val="334"/>
                <w:rFonts w:hint="default"/>
                <w:szCs w:val="21"/>
              </w:rPr>
              <w:t xml:space="preserve">            编号：                  </w:t>
            </w:r>
          </w:p>
        </w:tc>
      </w:tr>
      <w:tr>
        <w:tblPrEx>
          <w:tblLayout w:type="fixed"/>
          <w:tblCellMar>
            <w:top w:w="15" w:type="dxa"/>
            <w:left w:w="15" w:type="dxa"/>
            <w:bottom w:w="15" w:type="dxa"/>
            <w:right w:w="15" w:type="dxa"/>
          </w:tblCellMar>
        </w:tblPrEx>
        <w:trPr>
          <w:trHeight w:val="41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检查及维修的内容及要求</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检测结果</w:t>
            </w:r>
          </w:p>
        </w:tc>
        <w:tc>
          <w:tcPr>
            <w:tcW w:w="1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维保方案</w:t>
            </w:r>
          </w:p>
        </w:tc>
      </w:tr>
      <w:tr>
        <w:tblPrEx>
          <w:tblLayout w:type="fixed"/>
          <w:tblCellMar>
            <w:top w:w="15" w:type="dxa"/>
            <w:left w:w="15" w:type="dxa"/>
            <w:bottom w:w="15" w:type="dxa"/>
            <w:right w:w="15" w:type="dxa"/>
          </w:tblCellMar>
        </w:tblPrEx>
        <w:trPr>
          <w:trHeight w:val="646" w:hRule="atLeast"/>
        </w:trPr>
        <w:tc>
          <w:tcPr>
            <w:tcW w:w="780"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978" w:type="dxa"/>
            <w:tcBorders>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检查外观是否有缺陷，电缆有否老化、绝缘是否符合设计使用要求，不符合经甲方确认后更换。</w:t>
            </w:r>
          </w:p>
        </w:tc>
        <w:tc>
          <w:tcPr>
            <w:tcW w:w="12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711"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机电设备解体时需对泵轴进行清洗并检查轴磨损情况，超过公差允许范围的，经甲方确认后对泵轴进行维修或更换。</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711"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检查耐磨环的磨损情况，如有明显磨损则需更换耐磨环，如发现耐磨环存在单边磨损现象则需告知甲方对机电设备运行工况进行检查。</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1011"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叶轮：叶轮表面不应有裂纹、损伤及严重腐蚀，叶轮与轴联接不能有松动；校静平衡，最大外径处不平衡不能超过10g。对叶轮检查后由甲方确认后决定是否做动平衡或更换。</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5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机械密封：存在泄漏、浸水现象或由甲方确认超过4年未进行过维修保养的，对机械密封进行更换。</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530"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密封件：对机电设备进行分解过程中拆下的所有橡胶密封件均予以更换。</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机油：更换32#机械油。</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836"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轴承：除轴承自身损坏之外，如有更换叶轮或因轴承内浸入泥沙污物经甲方确认需更换的，为确保载荷平衡及保证磨损一致原则，同时更换泵体上下轴承。</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891"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定子线圈：检查三相电感及绝缘值。如三相电感平衡而定子线圈冷态绝缘值不足2MΩ，则清理后进行烘干处理。如果烘干后绝缘检查仍不过关的，经甲方确认后对线圈进行重新绕组。</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741"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接线柱及接线端子：如有滑丝、破损或烧毁的，经甲方确认后更换。</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4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轴承座：清理内腔，轴承座有磨损情况的经甲方确认后更换。</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冷却水套：使用外循环水的冷却水套应拆解冷却套进行清洗。</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对机电设备铸件表面进行除锈、油漆。</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57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检查机电设备三角吊架或链条的完好性，不完好的应报甲方同意后更换（议价或甲供）。</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紧固件：检查并拧紧所有外露紧固件</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39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测试所有传感器</w:t>
            </w:r>
            <w:r>
              <w:rPr>
                <w:rStyle w:val="327"/>
                <w:rFonts w:hint="default"/>
              </w:rPr>
              <w:t>，如有异常则更换相应电气元件。</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597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宋体" w:hAnsi="宋体" w:cs="宋体"/>
                <w:color w:val="000000"/>
                <w:szCs w:val="21"/>
              </w:rPr>
            </w:pPr>
            <w:r>
              <w:rPr>
                <w:rFonts w:hint="eastAsia" w:ascii="宋体" w:hAnsi="宋体" w:cs="宋体"/>
                <w:color w:val="000000"/>
                <w:kern w:val="0"/>
                <w:szCs w:val="21"/>
              </w:rPr>
              <w:t>测试：空转检查，气压试验。</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285" w:hRule="atLeast"/>
        </w:trPr>
        <w:tc>
          <w:tcPr>
            <w:tcW w:w="9443" w:type="dxa"/>
            <w:gridSpan w:val="4"/>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Cs w:val="21"/>
              </w:rPr>
            </w:pPr>
            <w:r>
              <w:rPr>
                <w:rFonts w:hint="eastAsia" w:ascii="宋体" w:hAnsi="宋体" w:cs="宋体"/>
                <w:color w:val="000000"/>
                <w:kern w:val="0"/>
                <w:szCs w:val="21"/>
              </w:rPr>
              <w:t>甲方：                               乙方：</w:t>
            </w:r>
          </w:p>
        </w:tc>
      </w:tr>
    </w:tbl>
    <w:p>
      <w:pPr>
        <w:widowControl/>
        <w:jc w:val="left"/>
        <w:textAlignment w:val="center"/>
        <w:rPr>
          <w:rStyle w:val="341"/>
          <w:rFonts w:hint="default"/>
          <w:szCs w:val="21"/>
        </w:rPr>
      </w:pPr>
      <w:r>
        <w:rPr>
          <w:rStyle w:val="341"/>
          <w:rFonts w:hint="default"/>
          <w:szCs w:val="21"/>
        </w:rPr>
        <w:t>说明：</w:t>
      </w:r>
    </w:p>
    <w:p>
      <w:pPr>
        <w:widowControl/>
        <w:numPr>
          <w:ilvl w:val="0"/>
          <w:numId w:val="6"/>
        </w:numPr>
        <w:jc w:val="left"/>
        <w:textAlignment w:val="center"/>
        <w:rPr>
          <w:rStyle w:val="341"/>
          <w:rFonts w:hint="default"/>
          <w:szCs w:val="21"/>
        </w:rPr>
      </w:pPr>
      <w:r>
        <w:rPr>
          <w:rStyle w:val="341"/>
          <w:rFonts w:hint="default"/>
          <w:szCs w:val="21"/>
        </w:rPr>
        <w:t>本表的编号与常州市连城管道网络有限公司《机电设备发外维保及验收记录表》编号一致；</w:t>
      </w:r>
    </w:p>
    <w:p>
      <w:pPr>
        <w:spacing w:line="360" w:lineRule="auto"/>
        <w:rPr>
          <w:rStyle w:val="329"/>
          <w:szCs w:val="21"/>
        </w:rPr>
      </w:pPr>
      <w:r>
        <w:rPr>
          <w:rStyle w:val="329"/>
          <w:szCs w:val="21"/>
        </w:rPr>
        <w:t>2、维修内容不仅限于表中内容，可根据实际情况酌情增减。</w:t>
      </w:r>
    </w:p>
    <w:p>
      <w:pPr>
        <w:pStyle w:val="3"/>
        <w:numPr>
          <w:ilvl w:val="0"/>
          <w:numId w:val="0"/>
        </w:numPr>
        <w:jc w:val="center"/>
        <w:rPr>
          <w:sz w:val="44"/>
          <w:szCs w:val="44"/>
        </w:rPr>
      </w:pPr>
      <w:r>
        <w:rPr>
          <w:rStyle w:val="329"/>
          <w:sz w:val="21"/>
          <w:szCs w:val="21"/>
        </w:rPr>
        <w:br w:type="page"/>
      </w:r>
      <w:r>
        <w:rPr>
          <w:sz w:val="44"/>
          <w:szCs w:val="44"/>
        </w:rPr>
        <w:t>表4：</w:t>
      </w:r>
      <w:r>
        <w:rPr>
          <w:rFonts w:hint="eastAsia"/>
          <w:sz w:val="44"/>
          <w:szCs w:val="44"/>
        </w:rPr>
        <w:t>机电设备维修及定期保养考核表</w:t>
      </w:r>
    </w:p>
    <w:p>
      <w:pPr>
        <w:pStyle w:val="6"/>
        <w:numPr>
          <w:ilvl w:val="0"/>
          <w:numId w:val="0"/>
        </w:numPr>
        <w:jc w:val="center"/>
      </w:pPr>
      <w:r>
        <w:rPr>
          <w:rFonts w:hint="eastAsia"/>
        </w:rPr>
        <w:t>考核周期：        年第    季度</w:t>
      </w:r>
    </w:p>
    <w:p>
      <w:pPr>
        <w:spacing w:line="360" w:lineRule="auto"/>
        <w:rPr>
          <w:sz w:val="24"/>
        </w:rPr>
      </w:pPr>
    </w:p>
    <w:tbl>
      <w:tblPr>
        <w:tblStyle w:val="58"/>
        <w:tblW w:w="8687" w:type="dxa"/>
        <w:tblInd w:w="0" w:type="dxa"/>
        <w:tblLayout w:type="fixed"/>
        <w:tblCellMar>
          <w:top w:w="0" w:type="dxa"/>
          <w:left w:w="108" w:type="dxa"/>
          <w:bottom w:w="0" w:type="dxa"/>
          <w:right w:w="108" w:type="dxa"/>
        </w:tblCellMar>
      </w:tblPr>
      <w:tblGrid>
        <w:gridCol w:w="876"/>
        <w:gridCol w:w="2500"/>
        <w:gridCol w:w="3955"/>
        <w:gridCol w:w="1356"/>
      </w:tblGrid>
      <w:tr>
        <w:tblPrEx>
          <w:tblLayout w:type="fixed"/>
          <w:tblCellMar>
            <w:top w:w="0" w:type="dxa"/>
            <w:left w:w="108" w:type="dxa"/>
            <w:bottom w:w="0" w:type="dxa"/>
            <w:right w:w="108" w:type="dxa"/>
          </w:tblCellMar>
        </w:tblPrEx>
        <w:trPr>
          <w:trHeight w:val="402"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考核内容</w:t>
            </w:r>
          </w:p>
        </w:tc>
        <w:tc>
          <w:tcPr>
            <w:tcW w:w="3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评分说明</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考核分数</w:t>
            </w:r>
          </w:p>
        </w:tc>
      </w:tr>
      <w:tr>
        <w:tblPrEx>
          <w:tblLayout w:type="fixed"/>
          <w:tblCellMar>
            <w:top w:w="0" w:type="dxa"/>
            <w:left w:w="108" w:type="dxa"/>
            <w:bottom w:w="0" w:type="dxa"/>
            <w:right w:w="108" w:type="dxa"/>
          </w:tblCellMar>
        </w:tblPrEx>
        <w:trPr>
          <w:trHeight w:val="10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维保响应及时性评价</w:t>
            </w:r>
          </w:p>
        </w:tc>
        <w:tc>
          <w:tcPr>
            <w:tcW w:w="395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基础得分15分，每延误一次扣2分，在应急抢修任务中优于合同响应时间要求的酌情加分，最高得20分</w:t>
            </w: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0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维保完成时间评价</w:t>
            </w:r>
          </w:p>
        </w:tc>
        <w:tc>
          <w:tcPr>
            <w:tcW w:w="395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基础得分25分，每延误一次扣2分，在应急抢修任务中优于合同响应时间要求的酌情加分，最高得30分。因维保延误造成运行事故的，扣除该项全部得分。</w:t>
            </w: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0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维保质量评价</w:t>
            </w:r>
          </w:p>
        </w:tc>
        <w:tc>
          <w:tcPr>
            <w:tcW w:w="395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最高分50分，在50分的基础上机电设备每出现返修一台/次扣除5分（可追溯质保期内其他考评周期内的维保记录）。因维保质量造成运行事故的，扣除该项全部得分。</w:t>
            </w: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002" w:hRule="atLeast"/>
        </w:trPr>
        <w:tc>
          <w:tcPr>
            <w:tcW w:w="337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总计评分：</w:t>
            </w:r>
          </w:p>
        </w:tc>
        <w:tc>
          <w:tcPr>
            <w:tcW w:w="395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总分100分，60分及以上为合格，59分及以下为不合格</w:t>
            </w: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002" w:hRule="atLeast"/>
        </w:trPr>
        <w:tc>
          <w:tcPr>
            <w:tcW w:w="337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考核评定：</w:t>
            </w:r>
          </w:p>
        </w:tc>
        <w:tc>
          <w:tcPr>
            <w:tcW w:w="531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bl>
    <w:p>
      <w:pPr>
        <w:spacing w:line="360" w:lineRule="auto"/>
        <w:rPr>
          <w:sz w:val="24"/>
        </w:rPr>
      </w:pPr>
      <w:r>
        <w:rPr>
          <w:rFonts w:hint="eastAsia"/>
          <w:sz w:val="24"/>
        </w:rPr>
        <w:t>本考核表一式贰份，甲乙双方各执一份。</w:t>
      </w:r>
    </w:p>
    <w:p>
      <w:pPr>
        <w:spacing w:line="360" w:lineRule="auto"/>
        <w:rPr>
          <w:sz w:val="24"/>
        </w:rPr>
      </w:pPr>
    </w:p>
    <w:p>
      <w:pPr>
        <w:spacing w:line="360" w:lineRule="auto"/>
        <w:rPr>
          <w:sz w:val="24"/>
        </w:rPr>
      </w:pPr>
      <w:r>
        <w:rPr>
          <w:rFonts w:hint="eastAsia"/>
          <w:sz w:val="24"/>
        </w:rPr>
        <w:t>甲方经办人：　　　　　　　　　　　　　 乙方经办人：</w:t>
      </w:r>
    </w:p>
    <w:p>
      <w:pPr>
        <w:spacing w:line="360" w:lineRule="auto"/>
        <w:rPr>
          <w:sz w:val="24"/>
        </w:rPr>
      </w:pPr>
    </w:p>
    <w:p>
      <w:pPr>
        <w:tabs>
          <w:tab w:val="left" w:pos="2295"/>
          <w:tab w:val="left" w:pos="7215"/>
        </w:tabs>
        <w:rPr>
          <w:sz w:val="24"/>
        </w:rPr>
      </w:pPr>
      <w:r>
        <w:rPr>
          <w:sz w:val="24"/>
        </w:rPr>
        <w:tab/>
      </w:r>
      <w:r>
        <w:rPr>
          <w:rFonts w:hint="eastAsia"/>
          <w:sz w:val="24"/>
        </w:rPr>
        <w:t>（盖章）</w:t>
      </w:r>
      <w:r>
        <w:rPr>
          <w:sz w:val="24"/>
        </w:rPr>
        <w:tab/>
      </w:r>
      <w:r>
        <w:rPr>
          <w:rFonts w:hint="eastAsia"/>
          <w:sz w:val="24"/>
        </w:rPr>
        <w:t>（盖章）</w:t>
      </w:r>
    </w:p>
    <w:p>
      <w:pPr>
        <w:spacing w:line="360" w:lineRule="auto"/>
        <w:rPr>
          <w:sz w:val="24"/>
        </w:rPr>
      </w:pPr>
    </w:p>
    <w:p>
      <w:pPr>
        <w:tabs>
          <w:tab w:val="left" w:pos="5460"/>
        </w:tabs>
        <w:rPr>
          <w:sz w:val="24"/>
        </w:rPr>
      </w:pPr>
      <w:r>
        <w:rPr>
          <w:rFonts w:hint="eastAsia"/>
          <w:sz w:val="24"/>
        </w:rPr>
        <w:t>甲方负责人：　　　　　　　　　　　　　 乙方负责人：</w:t>
      </w:r>
    </w:p>
    <w:p>
      <w:pPr>
        <w:rPr>
          <w:sz w:val="24"/>
        </w:rPr>
      </w:pPr>
    </w:p>
    <w:p>
      <w:pPr>
        <w:rPr>
          <w:sz w:val="24"/>
        </w:rPr>
      </w:pPr>
    </w:p>
    <w:p>
      <w:pPr>
        <w:rPr>
          <w:sz w:val="24"/>
        </w:rPr>
      </w:pPr>
    </w:p>
    <w:p>
      <w:pPr>
        <w:tabs>
          <w:tab w:val="left" w:pos="2490"/>
        </w:tabs>
        <w:rPr>
          <w:sz w:val="24"/>
        </w:rPr>
      </w:pPr>
      <w:r>
        <w:rPr>
          <w:rFonts w:hint="eastAsia"/>
          <w:sz w:val="24"/>
        </w:rPr>
        <w:t>考核日期：</w:t>
      </w:r>
    </w:p>
    <w:p>
      <w:pPr>
        <w:spacing w:line="360" w:lineRule="auto"/>
      </w:pPr>
    </w:p>
    <w:p>
      <w:pPr>
        <w:ind w:firstLine="420"/>
        <w:jc w:val="center"/>
        <w:rPr>
          <w:rFonts w:ascii="黑体" w:hAnsi="宋体" w:eastAsia="黑体"/>
          <w:b/>
          <w:spacing w:val="100"/>
          <w:sz w:val="44"/>
          <w:szCs w:val="44"/>
        </w:rPr>
      </w:pPr>
      <w:r>
        <w:br w:type="page"/>
      </w:r>
      <w:r>
        <w:rPr>
          <w:rFonts w:hint="eastAsia" w:ascii="黑体" w:hAnsi="宋体" w:eastAsia="黑体"/>
          <w:b/>
          <w:spacing w:val="100"/>
          <w:sz w:val="44"/>
          <w:szCs w:val="44"/>
        </w:rPr>
        <w:t>安全生产协议</w:t>
      </w:r>
    </w:p>
    <w:p>
      <w:pPr>
        <w:rPr>
          <w:rFonts w:ascii="宋体" w:hAnsi="宋体"/>
          <w:sz w:val="24"/>
        </w:rPr>
      </w:pPr>
      <w:r>
        <w:rPr>
          <w:rFonts w:hint="eastAsia" w:ascii="宋体" w:hAnsi="宋体"/>
          <w:sz w:val="24"/>
        </w:rPr>
        <w:t>立协议单位：</w:t>
      </w:r>
    </w:p>
    <w:p>
      <w:pPr>
        <w:rPr>
          <w:rFonts w:ascii="宋体" w:hAnsi="宋体"/>
          <w:sz w:val="24"/>
        </w:rPr>
      </w:pPr>
      <w:r>
        <w:rPr>
          <w:rFonts w:hint="eastAsia" w:ascii="宋体" w:hAnsi="宋体"/>
          <w:sz w:val="24"/>
        </w:rPr>
        <w:t>甲方：</w:t>
      </w:r>
      <w:r>
        <w:rPr>
          <w:rFonts w:hint="eastAsia" w:ascii="宋体" w:hAnsi="宋体"/>
          <w:sz w:val="24"/>
          <w:u w:val="single"/>
        </w:rPr>
        <w:t xml:space="preserve">       常州市连城管道网络有限公司                            </w:t>
      </w:r>
    </w:p>
    <w:p>
      <w:pPr>
        <w:rPr>
          <w:rFonts w:ascii="宋体" w:hAnsi="宋体"/>
          <w:sz w:val="24"/>
        </w:rPr>
      </w:pPr>
      <w:r>
        <w:rPr>
          <w:rFonts w:hint="eastAsia" w:ascii="宋体" w:hAnsi="宋体"/>
          <w:sz w:val="24"/>
        </w:rPr>
        <w:t>乙方：</w:t>
      </w:r>
      <w:r>
        <w:rPr>
          <w:rFonts w:hint="eastAsia" w:ascii="宋体" w:hAnsi="宋体"/>
          <w:sz w:val="24"/>
          <w:u w:val="single"/>
        </w:rPr>
        <w:t xml:space="preserve">       xxxxxxxxxxxx公司                         </w:t>
      </w:r>
    </w:p>
    <w:p>
      <w:pPr>
        <w:rPr>
          <w:rFonts w:ascii="宋体" w:hAnsi="宋体"/>
          <w:sz w:val="24"/>
        </w:rPr>
      </w:pPr>
    </w:p>
    <w:p>
      <w:pPr>
        <w:ind w:firstLine="480" w:firstLineChars="200"/>
        <w:rPr>
          <w:rFonts w:ascii="宋体" w:hAnsi="宋体"/>
          <w:sz w:val="24"/>
        </w:rPr>
      </w:pPr>
      <w:r>
        <w:rPr>
          <w:rFonts w:hint="eastAsia" w:ascii="宋体" w:hAnsi="宋体"/>
          <w:sz w:val="24"/>
        </w:rPr>
        <w:t>为贯彻“安全第一、预防为主、综合治理”的方针，根据国家有关法规，明确双方的安全生产责任，确保施工安全，双方在签订</w:t>
      </w:r>
      <w:r>
        <w:rPr>
          <w:rFonts w:hint="eastAsia" w:ascii="宋体" w:hAnsi="宋体"/>
          <w:bCs/>
          <w:sz w:val="24"/>
        </w:rPr>
        <w:t>常州市连城管道网络有限公司</w:t>
      </w:r>
      <w:r>
        <w:rPr>
          <w:rFonts w:hint="eastAsia" w:ascii="宋体" w:hAnsi="宋体"/>
          <w:bCs/>
          <w:sz w:val="24"/>
          <w:u w:val="single"/>
        </w:rPr>
        <w:t xml:space="preserve">泵维修及定期保养合同         </w:t>
      </w:r>
      <w:r>
        <w:rPr>
          <w:rFonts w:hint="eastAsia" w:ascii="宋体" w:hAnsi="宋体"/>
          <w:sz w:val="24"/>
        </w:rPr>
        <w:t>的同时签订本安全生产协议。</w:t>
      </w:r>
    </w:p>
    <w:p>
      <w:pPr>
        <w:rPr>
          <w:rFonts w:ascii="宋体" w:hAnsi="宋体"/>
          <w:sz w:val="24"/>
        </w:rPr>
      </w:pPr>
      <w:r>
        <w:rPr>
          <w:rFonts w:hint="eastAsia" w:ascii="宋体" w:hAnsi="宋体"/>
          <w:sz w:val="24"/>
        </w:rPr>
        <w:t>一、承包工程项目</w:t>
      </w:r>
    </w:p>
    <w:p>
      <w:pPr>
        <w:ind w:firstLine="597" w:firstLineChars="249"/>
        <w:rPr>
          <w:rFonts w:ascii="宋体" w:hAnsi="宋体"/>
          <w:sz w:val="24"/>
          <w:u w:val="single"/>
        </w:rPr>
      </w:pPr>
      <w:r>
        <w:rPr>
          <w:rFonts w:hint="eastAsia" w:ascii="宋体" w:hAnsi="宋体"/>
          <w:sz w:val="24"/>
        </w:rPr>
        <w:t>1．项目名称：</w:t>
      </w:r>
      <w:r>
        <w:rPr>
          <w:rFonts w:hint="eastAsia" w:ascii="宋体" w:hAnsi="宋体"/>
          <w:color w:val="000000"/>
          <w:sz w:val="24"/>
          <w:u w:val="single"/>
        </w:rPr>
        <w:t>机电设备</w:t>
      </w:r>
      <w:r>
        <w:rPr>
          <w:rFonts w:hint="eastAsia" w:ascii="宋体" w:hAnsi="宋体"/>
          <w:bCs/>
          <w:color w:val="000000"/>
          <w:sz w:val="24"/>
          <w:u w:val="single"/>
        </w:rPr>
        <w:t>维修及定期保养</w:t>
      </w:r>
    </w:p>
    <w:p>
      <w:pPr>
        <w:ind w:firstLine="480" w:firstLineChars="200"/>
        <w:rPr>
          <w:rFonts w:ascii="宋体" w:hAnsi="宋体"/>
          <w:sz w:val="24"/>
        </w:rPr>
      </w:pPr>
      <w:r>
        <w:rPr>
          <w:rFonts w:hint="eastAsia" w:ascii="宋体" w:hAnsi="宋体"/>
          <w:sz w:val="24"/>
        </w:rPr>
        <w:t xml:space="preserve"> 2．作业内容：</w:t>
      </w:r>
      <w:r>
        <w:rPr>
          <w:rFonts w:hint="eastAsia" w:ascii="宋体" w:hAnsi="宋体"/>
          <w:sz w:val="24"/>
          <w:u w:val="single"/>
        </w:rPr>
        <w:t xml:space="preserve"> 污水厂及泵站的</w:t>
      </w:r>
      <w:r>
        <w:rPr>
          <w:rFonts w:hint="eastAsia" w:ascii="宋体" w:hAnsi="宋体"/>
          <w:color w:val="000000"/>
          <w:sz w:val="24"/>
          <w:u w:val="single"/>
        </w:rPr>
        <w:t>机电设备</w:t>
      </w:r>
      <w:r>
        <w:rPr>
          <w:rFonts w:hint="eastAsia" w:ascii="宋体" w:hAnsi="宋体"/>
          <w:bCs/>
          <w:color w:val="000000"/>
          <w:sz w:val="24"/>
          <w:u w:val="single"/>
        </w:rPr>
        <w:t>维修及定期保养</w:t>
      </w:r>
    </w:p>
    <w:p>
      <w:pPr>
        <w:ind w:firstLine="480" w:firstLineChars="200"/>
        <w:rPr>
          <w:rFonts w:ascii="宋体" w:hAnsi="宋体"/>
          <w:sz w:val="24"/>
          <w:u w:val="single"/>
        </w:rPr>
      </w:pPr>
      <w:r>
        <w:rPr>
          <w:rFonts w:hint="eastAsia" w:ascii="宋体" w:hAnsi="宋体"/>
          <w:sz w:val="24"/>
        </w:rPr>
        <w:t xml:space="preserve"> 3．项目期限：</w:t>
      </w:r>
      <w:r>
        <w:rPr>
          <w:rFonts w:hint="eastAsia" w:ascii="宋体" w:hAnsi="宋体"/>
          <w:sz w:val="24"/>
          <w:u w:val="single"/>
        </w:rPr>
        <w:t xml:space="preserve"> 见合同 </w:t>
      </w:r>
    </w:p>
    <w:p>
      <w:pPr>
        <w:rPr>
          <w:rFonts w:ascii="宋体" w:hAnsi="宋体"/>
          <w:sz w:val="24"/>
        </w:rPr>
      </w:pPr>
      <w:r>
        <w:rPr>
          <w:rFonts w:hint="eastAsia" w:ascii="宋体" w:hAnsi="宋体"/>
          <w:sz w:val="24"/>
        </w:rPr>
        <w:t>二、协议内容</w:t>
      </w:r>
    </w:p>
    <w:p>
      <w:pPr>
        <w:rPr>
          <w:rFonts w:ascii="宋体" w:hAnsi="宋体"/>
          <w:sz w:val="24"/>
        </w:rPr>
      </w:pPr>
      <w:r>
        <w:rPr>
          <w:rFonts w:hint="eastAsia" w:ascii="宋体" w:hAnsi="宋体"/>
          <w:sz w:val="24"/>
        </w:rPr>
        <w:t xml:space="preserve">    1.</w:t>
      </w:r>
      <w:r>
        <w:rPr>
          <w:rFonts w:ascii="宋体" w:hAnsi="宋体"/>
          <w:bCs/>
          <w:sz w:val="24"/>
        </w:rPr>
        <w:t>为了切实加强施工现场安全生产管理，双方本着平等、自愿的原则，签订本协议书。</w:t>
      </w:r>
    </w:p>
    <w:p>
      <w:pPr>
        <w:ind w:firstLine="480" w:firstLineChars="200"/>
        <w:rPr>
          <w:rFonts w:ascii="宋体" w:hAnsi="宋体"/>
          <w:sz w:val="24"/>
        </w:rPr>
      </w:pPr>
      <w:r>
        <w:rPr>
          <w:rFonts w:hint="eastAsia" w:ascii="宋体" w:hAnsi="宋体"/>
          <w:sz w:val="24"/>
        </w:rPr>
        <w:t>2．甲乙双方必须认真贯彻国家和上级劳动保护、安全生产主管部门颁发的有关安全生产、文明施工、消防工作的方针、政策，严格执行有关劳动保护法规、条例、规定。乙方必须服从属地有权行政部门或单位的管理，并使施工项目达到相关部门的安全、文明、交通、环保等方面的要求</w:t>
      </w:r>
    </w:p>
    <w:p>
      <w:pPr>
        <w:ind w:firstLine="480" w:firstLineChars="200"/>
        <w:rPr>
          <w:rFonts w:ascii="宋体" w:hAnsi="宋体"/>
          <w:sz w:val="24"/>
        </w:rPr>
      </w:pPr>
      <w:r>
        <w:rPr>
          <w:rFonts w:hint="eastAsia" w:ascii="宋体" w:hAnsi="宋体"/>
          <w:sz w:val="24"/>
        </w:rPr>
        <w:t>3．乙方应有安全管理制度，做好电工等工种的持证上岗的管理工作。</w:t>
      </w:r>
    </w:p>
    <w:p>
      <w:pPr>
        <w:ind w:firstLine="480" w:firstLineChars="200"/>
        <w:rPr>
          <w:rFonts w:ascii="宋体" w:hAnsi="宋体"/>
          <w:sz w:val="24"/>
        </w:rPr>
      </w:pPr>
      <w:r>
        <w:rPr>
          <w:rFonts w:hint="eastAsia" w:ascii="宋体" w:hAnsi="宋体"/>
          <w:sz w:val="24"/>
        </w:rPr>
        <w:t>4．乙方必须重视安全生产的管理，加强本单位员工安全生产责任制度，增强员工的法制观念，提高员工的安全生产意识和自我保护能力，督促员工自觉遵守安全生产法律法规和规章制度。</w:t>
      </w:r>
    </w:p>
    <w:p>
      <w:pPr>
        <w:ind w:firstLine="480" w:firstLineChars="200"/>
        <w:jc w:val="left"/>
        <w:rPr>
          <w:rFonts w:ascii="宋体" w:hAnsi="宋体"/>
          <w:bCs/>
          <w:sz w:val="24"/>
        </w:rPr>
      </w:pPr>
      <w:r>
        <w:rPr>
          <w:rFonts w:hint="eastAsia" w:ascii="宋体" w:hAnsi="宋体"/>
          <w:sz w:val="24"/>
        </w:rPr>
        <w:t>5．乙方在服务期间必须严格执行</w:t>
      </w:r>
      <w:r>
        <w:rPr>
          <w:rFonts w:ascii="宋体" w:hAnsi="宋体"/>
          <w:bCs/>
          <w:sz w:val="24"/>
        </w:rPr>
        <w:t>《中华人民共和国安全生产法》、《中华人民共和国合同法》</w:t>
      </w:r>
      <w:r>
        <w:rPr>
          <w:rFonts w:hint="eastAsia" w:ascii="宋体" w:hAnsi="宋体"/>
          <w:bCs/>
          <w:sz w:val="24"/>
        </w:rPr>
        <w:t>等相关规定</w:t>
      </w:r>
      <w:r>
        <w:rPr>
          <w:rFonts w:hint="eastAsia" w:ascii="宋体" w:hAnsi="宋体"/>
          <w:sz w:val="24"/>
        </w:rPr>
        <w:t>。</w:t>
      </w:r>
    </w:p>
    <w:p>
      <w:pPr>
        <w:ind w:firstLine="480" w:firstLineChars="200"/>
        <w:rPr>
          <w:rFonts w:ascii="宋体" w:hAnsi="宋体"/>
          <w:sz w:val="24"/>
        </w:rPr>
      </w:pPr>
      <w:r>
        <w:rPr>
          <w:rFonts w:hint="eastAsia" w:ascii="宋体" w:hAnsi="宋体"/>
          <w:sz w:val="24"/>
        </w:rPr>
        <w:t>6．乙方应充分考虑到工作环境内</w:t>
      </w:r>
      <w:r>
        <w:rPr>
          <w:rFonts w:hint="eastAsia" w:ascii="宋体" w:hAnsi="宋体"/>
          <w:color w:val="000000"/>
          <w:sz w:val="24"/>
        </w:rPr>
        <w:t>可能存在H</w:t>
      </w:r>
      <w:r>
        <w:rPr>
          <w:color w:val="000000"/>
          <w:sz w:val="24"/>
          <w:vertAlign w:val="subscript"/>
        </w:rPr>
        <w:t>2</w:t>
      </w:r>
      <w:r>
        <w:rPr>
          <w:rFonts w:hint="eastAsia" w:ascii="宋体" w:hAnsi="宋体"/>
          <w:color w:val="000000"/>
          <w:sz w:val="24"/>
        </w:rPr>
        <w:t>S、CO等有毒有害气体，在服务期间如需下井作业需采取虑强制通风、佩戴防毒面具等安全措施，并考虑相关应急预案、实行工作票制度，确保达到安全生产的目的，</w:t>
      </w:r>
      <w:r>
        <w:rPr>
          <w:rFonts w:hint="eastAsia" w:ascii="宋体" w:hAnsi="宋体"/>
          <w:sz w:val="24"/>
        </w:rPr>
        <w:t>甲方不再进行另外的安全技术交底。</w:t>
      </w:r>
    </w:p>
    <w:p>
      <w:pPr>
        <w:ind w:firstLine="480" w:firstLineChars="200"/>
        <w:rPr>
          <w:rFonts w:ascii="宋体" w:hAnsi="宋体"/>
          <w:sz w:val="24"/>
        </w:rPr>
      </w:pPr>
      <w:r>
        <w:rPr>
          <w:rFonts w:hint="eastAsia" w:ascii="宋体" w:hAnsi="宋体"/>
          <w:sz w:val="24"/>
        </w:rPr>
        <w:t>7.乙方在服务期间必须注意用电安全，专人负责监督接拆电缆作业，禁止带电作业。乙方有接受甲方的督促、检查和指导的义务。</w:t>
      </w:r>
    </w:p>
    <w:p>
      <w:pPr>
        <w:ind w:firstLine="480" w:firstLineChars="200"/>
        <w:rPr>
          <w:rFonts w:ascii="宋体" w:hAnsi="宋体"/>
          <w:sz w:val="24"/>
        </w:rPr>
      </w:pPr>
      <w:r>
        <w:rPr>
          <w:rFonts w:hint="eastAsia" w:ascii="宋体" w:hAnsi="宋体"/>
          <w:sz w:val="24"/>
        </w:rPr>
        <w:t>8.乙方在涉及起重设备（包括外协吊车）的使用时，需充分考虑使用安全，禁止野蛮操作及无证操作，甲方不再进行另外的安全技术交底。</w:t>
      </w:r>
    </w:p>
    <w:p>
      <w:pPr>
        <w:ind w:firstLine="480" w:firstLineChars="200"/>
        <w:rPr>
          <w:rFonts w:ascii="宋体" w:hAnsi="宋体"/>
          <w:sz w:val="24"/>
        </w:rPr>
      </w:pPr>
      <w:r>
        <w:rPr>
          <w:rFonts w:hint="eastAsia" w:ascii="宋体" w:hAnsi="宋体"/>
          <w:sz w:val="24"/>
        </w:rPr>
        <w:t>9.甲方有协助乙方搞好安全生产、用电安全以及督促检查的义务，对于查出的隐患，乙方必须限期整改，如乙方拒不整改，甲方可视情况进行每次1000---3000的经济处罚。对甲方违章指挥或其他不合理要求，乙方有权拒绝，并可向上级部门举报。</w:t>
      </w:r>
    </w:p>
    <w:p>
      <w:pPr>
        <w:ind w:firstLine="480" w:firstLineChars="200"/>
        <w:rPr>
          <w:rFonts w:ascii="宋体" w:hAnsi="宋体"/>
          <w:sz w:val="24"/>
        </w:rPr>
      </w:pPr>
      <w:r>
        <w:rPr>
          <w:rFonts w:hint="eastAsia" w:ascii="宋体" w:hAnsi="宋体"/>
          <w:sz w:val="24"/>
        </w:rPr>
        <w:t>10．在服务过程中的个人安全防护用品，由乙方自理，乙方应督促现场服务人员自觉穿戴好安全防护用品。</w:t>
      </w:r>
    </w:p>
    <w:p>
      <w:pPr>
        <w:ind w:firstLine="480" w:firstLineChars="200"/>
        <w:rPr>
          <w:rFonts w:ascii="宋体" w:hAnsi="宋体"/>
          <w:sz w:val="24"/>
        </w:rPr>
      </w:pPr>
      <w:r>
        <w:rPr>
          <w:rFonts w:hint="eastAsia" w:ascii="宋体" w:hAnsi="宋体"/>
          <w:sz w:val="24"/>
        </w:rPr>
        <w:t>11．贯彻谁作业谁负责安全的原则，作业期间乙方作业范围内发生的人员伤亡、火灾、机械等安全生产事故均由乙方负责。</w:t>
      </w:r>
      <w:r>
        <w:rPr>
          <w:rFonts w:ascii="宋体" w:hAnsi="宋体"/>
          <w:sz w:val="24"/>
        </w:rPr>
        <w:t>甲方有协助进行紧急抢救和保护现场的义务，并</w:t>
      </w:r>
      <w:r>
        <w:rPr>
          <w:rFonts w:hint="eastAsia" w:ascii="宋体" w:hAnsi="宋体"/>
          <w:sz w:val="24"/>
        </w:rPr>
        <w:t>按规定</w:t>
      </w:r>
      <w:r>
        <w:rPr>
          <w:rFonts w:ascii="宋体" w:hAnsi="宋体"/>
          <w:sz w:val="24"/>
        </w:rPr>
        <w:t>报有关职能部门。</w:t>
      </w:r>
    </w:p>
    <w:p>
      <w:pPr>
        <w:ind w:firstLine="480" w:firstLineChars="200"/>
        <w:rPr>
          <w:rFonts w:ascii="宋体" w:hAnsi="宋体"/>
          <w:sz w:val="24"/>
        </w:rPr>
      </w:pPr>
      <w:r>
        <w:rPr>
          <w:rFonts w:hint="eastAsia" w:ascii="宋体" w:hAnsi="宋体"/>
          <w:sz w:val="24"/>
        </w:rPr>
        <w:t>12．本协议订的各项规定适用于立协单位双方，如遇有同国家的有关法规不符合者按国家和常州市的有关规定执行。</w:t>
      </w:r>
    </w:p>
    <w:p>
      <w:pPr>
        <w:ind w:firstLine="480" w:firstLineChars="200"/>
        <w:rPr>
          <w:rFonts w:ascii="宋体" w:hAnsi="宋体"/>
          <w:sz w:val="24"/>
        </w:rPr>
      </w:pPr>
      <w:r>
        <w:rPr>
          <w:rFonts w:hint="eastAsia" w:ascii="宋体" w:hAnsi="宋体"/>
          <w:sz w:val="24"/>
        </w:rPr>
        <w:t>14．本协议与合同同日生效，甲乙双方必须严格执行，由于违反本协议而造成伤亡事故，由违约方承担一切经济损失。</w:t>
      </w:r>
    </w:p>
    <w:p>
      <w:pPr>
        <w:ind w:firstLine="480" w:firstLineChars="200"/>
        <w:rPr>
          <w:rFonts w:ascii="宋体" w:hAnsi="宋体"/>
          <w:sz w:val="24"/>
        </w:rPr>
      </w:pPr>
      <w:r>
        <w:rPr>
          <w:rFonts w:hint="eastAsia" w:ascii="宋体" w:hAnsi="宋体"/>
          <w:sz w:val="24"/>
        </w:rPr>
        <w:t>15.本协议一式四份，甲乙双方各执二份。</w:t>
      </w:r>
    </w:p>
    <w:p>
      <w:pPr>
        <w:ind w:firstLine="420"/>
        <w:rPr>
          <w:rFonts w:ascii="宋体" w:hAnsi="宋体"/>
          <w:sz w:val="24"/>
        </w:rPr>
      </w:pPr>
    </w:p>
    <w:p>
      <w:pPr>
        <w:jc w:val="left"/>
        <w:rPr>
          <w:rFonts w:ascii="宋体" w:hAnsi="宋体"/>
          <w:color w:val="000000"/>
          <w:sz w:val="24"/>
        </w:rPr>
      </w:pPr>
    </w:p>
    <w:p>
      <w:pPr>
        <w:jc w:val="left"/>
        <w:rPr>
          <w:rFonts w:ascii="宋体" w:hAnsi="宋体"/>
          <w:color w:val="000000"/>
          <w:sz w:val="24"/>
        </w:rPr>
      </w:pPr>
      <w:r>
        <w:rPr>
          <w:rFonts w:ascii="宋体" w:hAnsi="宋体"/>
          <w:color w:val="000000"/>
          <w:sz w:val="24"/>
        </w:rPr>
        <w:t>甲方：</w:t>
      </w:r>
      <w:r>
        <w:rPr>
          <w:rFonts w:hint="eastAsia" w:ascii="宋体" w:hAnsi="宋体"/>
          <w:color w:val="000000"/>
          <w:sz w:val="24"/>
        </w:rPr>
        <w:t>单位名称（盖章）</w:t>
      </w:r>
      <w:r>
        <w:rPr>
          <w:rFonts w:ascii="宋体" w:hAnsi="宋体"/>
          <w:color w:val="000000"/>
          <w:sz w:val="24"/>
        </w:rPr>
        <w:t xml:space="preserve">               乙方：</w:t>
      </w:r>
      <w:r>
        <w:rPr>
          <w:rFonts w:hint="eastAsia" w:ascii="宋体" w:hAnsi="宋体"/>
          <w:color w:val="000000"/>
          <w:sz w:val="24"/>
        </w:rPr>
        <w:t>单位名称（盖章）</w:t>
      </w:r>
    </w:p>
    <w:p>
      <w:pPr>
        <w:jc w:val="left"/>
        <w:rPr>
          <w:rFonts w:ascii="宋体" w:hAnsi="宋体"/>
          <w:color w:val="000000"/>
          <w:sz w:val="24"/>
        </w:rPr>
      </w:pPr>
      <w:r>
        <w:rPr>
          <w:rFonts w:ascii="宋体" w:hAnsi="宋体"/>
          <w:color w:val="000000"/>
          <w:sz w:val="24"/>
          <w:u w:val="single"/>
        </w:rPr>
        <w:br w:type="textWrapping"/>
      </w:r>
      <w:r>
        <w:rPr>
          <w:rFonts w:hint="eastAsia" w:ascii="宋体" w:hAnsi="宋体"/>
          <w:color w:val="000000"/>
          <w:sz w:val="24"/>
        </w:rPr>
        <w:t>法人代表                （盖章）       法人代表               （盖章）</w:t>
      </w:r>
    </w:p>
    <w:p>
      <w:pPr>
        <w:jc w:val="left"/>
        <w:rPr>
          <w:rFonts w:ascii="宋体" w:hAnsi="宋体"/>
          <w:color w:val="000000"/>
          <w:sz w:val="24"/>
          <w:u w:val="single"/>
        </w:rPr>
      </w:pPr>
      <w:r>
        <w:rPr>
          <w:rFonts w:ascii="宋体" w:hAnsi="宋体"/>
          <w:color w:val="000000"/>
          <w:sz w:val="24"/>
        </w:rPr>
        <w:br w:type="textWrapping"/>
      </w:r>
      <w:r>
        <w:rPr>
          <w:rFonts w:hint="eastAsia" w:ascii="宋体" w:hAnsi="宋体"/>
          <w:color w:val="000000"/>
          <w:sz w:val="24"/>
        </w:rPr>
        <w:t xml:space="preserve">授权代表                               授权代表 </w:t>
      </w:r>
    </w:p>
    <w:p>
      <w:r>
        <w:br w:type="textWrapping"/>
      </w:r>
      <w:r>
        <w:rPr>
          <w:rFonts w:hint="eastAsia"/>
        </w:rPr>
        <w:t xml:space="preserve">地    址                               地    </w:t>
      </w:r>
      <w:r>
        <w:rPr>
          <w:rFonts w:hint="eastAsia"/>
          <w:u w:val="single"/>
        </w:rPr>
        <w:t xml:space="preserve">址   </w:t>
      </w:r>
      <w:r>
        <w:br w:type="textWrapping"/>
      </w:r>
      <w:r>
        <w:rPr>
          <w:rFonts w:hint="eastAsia"/>
        </w:rPr>
        <w:t xml:space="preserve">电    话                               电    话    </w:t>
      </w:r>
      <w:r>
        <w:br w:type="textWrapping"/>
      </w:r>
      <w:r>
        <w:t>年</w:t>
      </w:r>
      <w:r>
        <w:rPr>
          <w:u w:val="single"/>
        </w:rPr>
        <w:t xml:space="preserve">  </w:t>
      </w:r>
      <w:r>
        <w:t>月</w:t>
      </w:r>
      <w:r>
        <w:rPr>
          <w:u w:val="single"/>
        </w:rPr>
        <w:t xml:space="preserve">   </w:t>
      </w:r>
      <w:r>
        <w:t>日 年</w:t>
      </w:r>
      <w:r>
        <w:rPr>
          <w:u w:val="single"/>
        </w:rPr>
        <w:t xml:space="preserve">  </w:t>
      </w:r>
      <w:r>
        <w:t>月</w:t>
      </w:r>
      <w:r>
        <w:rPr>
          <w:u w:val="single"/>
        </w:rPr>
        <w:t xml:space="preserve">   </w:t>
      </w:r>
      <w:r>
        <w:rPr>
          <w:rFonts w:ascii="华文中宋" w:hAnsi="华文中宋" w:eastAsia="华文中宋"/>
        </w:rPr>
        <w:t>日</w:t>
      </w:r>
    </w:p>
    <w:p/>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华文中宋">
    <w:altName w:val="微软雅黑"/>
    <w:panose1 w:val="00000000000000000000"/>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MS Mincho"/>
    <w:panose1 w:val="00000000000000000000"/>
    <w:charset w:val="80"/>
    <w:family w:val="modern"/>
    <w:pitch w:val="default"/>
    <w:sig w:usb0="00000000" w:usb1="00000000" w:usb2="00000010" w:usb3="00000000" w:csb0="00020000" w:csb1="00000000"/>
  </w:font>
  <w:font w:name="RotisSansSerif">
    <w:altName w:val="Arial"/>
    <w:panose1 w:val="00000000000000000000"/>
    <w:charset w:val="00"/>
    <w:family w:val="swiss"/>
    <w:pitch w:val="default"/>
    <w:sig w:usb0="00000000" w:usb1="00000000" w:usb2="00000000" w:usb3="00000000" w:csb0="00000093" w:csb1="00000000"/>
  </w:font>
  <w:font w:name="官帕">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3"/>
      </w:rPr>
    </w:pPr>
    <w:r>
      <w:fldChar w:fldCharType="begin"/>
    </w:r>
    <w:r>
      <w:rPr>
        <w:rStyle w:val="53"/>
      </w:rPr>
      <w:instrText xml:space="preserve">PAGE  </w:instrText>
    </w:r>
    <w: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14</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34</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center"/>
    </w:pPr>
    <w:r>
      <w:rPr>
        <w:rFonts w:hint="eastAsia"/>
        <w:szCs w:val="21"/>
      </w:rPr>
      <w:t xml:space="preserve">第 </w:t>
    </w:r>
    <w:r>
      <w:fldChar w:fldCharType="begin"/>
    </w:r>
    <w:r>
      <w:rPr>
        <w:rStyle w:val="53"/>
      </w:rPr>
      <w:instrText xml:space="preserve"> PAGE </w:instrText>
    </w:r>
    <w:r>
      <w:fldChar w:fldCharType="separate"/>
    </w:r>
    <w:r>
      <w:rPr>
        <w:rStyle w:val="53"/>
      </w:rPr>
      <w:t>5</w:t>
    </w:r>
    <w:r>
      <w:fldChar w:fldCharType="end"/>
    </w:r>
    <w:r>
      <w:rPr>
        <w:rFonts w:hint="eastAsia"/>
        <w:szCs w:val="21"/>
      </w:rPr>
      <w:t xml:space="preserve"> 页 共 </w:t>
    </w:r>
    <w:r>
      <w:fldChar w:fldCharType="begin"/>
    </w:r>
    <w:r>
      <w:rPr>
        <w:rStyle w:val="53"/>
      </w:rPr>
      <w:instrText xml:space="preserve"> NUMPAGES </w:instrText>
    </w:r>
    <w:r>
      <w:fldChar w:fldCharType="separate"/>
    </w:r>
    <w:r>
      <w:rPr>
        <w:rStyle w:val="53"/>
      </w:rPr>
      <w:t>41</w:t>
    </w:r>
    <w: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76C60"/>
    <w:multiLevelType w:val="multilevel"/>
    <w:tmpl w:val="2EF76C60"/>
    <w:lvl w:ilvl="0" w:tentative="0">
      <w:start w:val="1"/>
      <w:numFmt w:val="bullet"/>
      <w:pStyle w:val="26"/>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1">
    <w:nsid w:val="3B31126E"/>
    <w:multiLevelType w:val="multilevel"/>
    <w:tmpl w:val="3B31126E"/>
    <w:lvl w:ilvl="0" w:tentative="0">
      <w:start w:val="1"/>
      <w:numFmt w:val="japaneseCounting"/>
      <w:pStyle w:val="224"/>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31D51"/>
    <w:multiLevelType w:val="multilevel"/>
    <w:tmpl w:val="4AF31D51"/>
    <w:lvl w:ilvl="0" w:tentative="0">
      <w:start w:val="1"/>
      <w:numFmt w:val="bullet"/>
      <w:pStyle w:val="105"/>
      <w:lvlText w:val=""/>
      <w:lvlJc w:val="left"/>
      <w:pPr>
        <w:tabs>
          <w:tab w:val="left" w:pos="987"/>
        </w:tabs>
        <w:ind w:left="987" w:hanging="420"/>
      </w:pPr>
      <w:rPr>
        <w:rFonts w:hint="default" w:ascii="Wingdings" w:hAnsi="Wingdings"/>
      </w:rPr>
    </w:lvl>
    <w:lvl w:ilvl="1" w:tentative="0">
      <w:start w:val="1"/>
      <w:numFmt w:val="bullet"/>
      <w:pStyle w:val="145"/>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
    <w:nsid w:val="566527C2"/>
    <w:multiLevelType w:val="singleLevel"/>
    <w:tmpl w:val="566527C2"/>
    <w:lvl w:ilvl="0" w:tentative="0">
      <w:start w:val="1"/>
      <w:numFmt w:val="decimal"/>
      <w:suff w:val="nothing"/>
      <w:lvlText w:val="%1、"/>
      <w:lvlJc w:val="left"/>
    </w:lvl>
  </w:abstractNum>
  <w:abstractNum w:abstractNumId="4">
    <w:nsid w:val="566528F9"/>
    <w:multiLevelType w:val="singleLevel"/>
    <w:tmpl w:val="566528F9"/>
    <w:lvl w:ilvl="0" w:tentative="0">
      <w:start w:val="1"/>
      <w:numFmt w:val="decimal"/>
      <w:suff w:val="nothing"/>
      <w:lvlText w:val="%1、"/>
      <w:lvlJc w:val="left"/>
    </w:lvl>
  </w:abstractNum>
  <w:abstractNum w:abstractNumId="5">
    <w:nsid w:val="66D54CCB"/>
    <w:multiLevelType w:val="multilevel"/>
    <w:tmpl w:val="66D54CCB"/>
    <w:lvl w:ilvl="0" w:tentative="0">
      <w:start w:val="1"/>
      <w:numFmt w:val="decimal"/>
      <w:pStyle w:val="2"/>
      <w:lvlText w:val="%1  "/>
      <w:lvlJc w:val="left"/>
      <w:pPr>
        <w:tabs>
          <w:tab w:val="left" w:pos="1571"/>
        </w:tabs>
        <w:ind w:left="1283" w:hanging="432"/>
      </w:pPr>
      <w:rPr>
        <w:rFonts w:hint="eastAsia" w:ascii="黑体" w:eastAsia="黑体"/>
      </w:rPr>
    </w:lvl>
    <w:lvl w:ilvl="1" w:tentative="0">
      <w:start w:val="1"/>
      <w:numFmt w:val="decimal"/>
      <w:pStyle w:val="3"/>
      <w:lvlText w:val="%1.%2"/>
      <w:lvlJc w:val="left"/>
      <w:pPr>
        <w:tabs>
          <w:tab w:val="left" w:pos="0"/>
        </w:tabs>
        <w:ind w:left="0" w:firstLine="0"/>
      </w:pPr>
    </w:lvl>
    <w:lvl w:ilvl="2" w:tentative="0">
      <w:start w:val="1"/>
      <w:numFmt w:val="decimal"/>
      <w:pStyle w:val="6"/>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2B46"/>
    <w:rsid w:val="00033C66"/>
    <w:rsid w:val="000C6273"/>
    <w:rsid w:val="001F44D0"/>
    <w:rsid w:val="002169CE"/>
    <w:rsid w:val="002B07AE"/>
    <w:rsid w:val="00344AB8"/>
    <w:rsid w:val="0037483B"/>
    <w:rsid w:val="00393834"/>
    <w:rsid w:val="00400433"/>
    <w:rsid w:val="00473B3D"/>
    <w:rsid w:val="00481C7F"/>
    <w:rsid w:val="00485B30"/>
    <w:rsid w:val="00510746"/>
    <w:rsid w:val="006066E8"/>
    <w:rsid w:val="006668BB"/>
    <w:rsid w:val="006D272C"/>
    <w:rsid w:val="0087106F"/>
    <w:rsid w:val="008711A2"/>
    <w:rsid w:val="008C64B2"/>
    <w:rsid w:val="00960DA2"/>
    <w:rsid w:val="00A64191"/>
    <w:rsid w:val="00A82B46"/>
    <w:rsid w:val="00AB4B00"/>
    <w:rsid w:val="00AE2448"/>
    <w:rsid w:val="00B2296E"/>
    <w:rsid w:val="00B83796"/>
    <w:rsid w:val="00C819BD"/>
    <w:rsid w:val="00C93227"/>
    <w:rsid w:val="00CE521F"/>
    <w:rsid w:val="00D14124"/>
    <w:rsid w:val="00D92288"/>
    <w:rsid w:val="00EE723F"/>
    <w:rsid w:val="00F126B5"/>
    <w:rsid w:val="3A274273"/>
    <w:rsid w:val="5E6162C3"/>
    <w:rsid w:val="6F98713D"/>
    <w:rsid w:val="7AC623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uiPriority="1"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pageBreakBefore/>
      <w:numPr>
        <w:ilvl w:val="0"/>
        <w:numId w:val="1"/>
      </w:numPr>
      <w:adjustRightInd w:val="0"/>
      <w:spacing w:before="50"/>
      <w:jc w:val="center"/>
      <w:outlineLvl w:val="0"/>
    </w:pPr>
    <w:rPr>
      <w:rFonts w:eastAsia="黑体"/>
      <w:b/>
      <w:kern w:val="0"/>
      <w:sz w:val="44"/>
      <w:szCs w:val="20"/>
    </w:rPr>
  </w:style>
  <w:style w:type="paragraph" w:styleId="3">
    <w:name w:val="heading 2"/>
    <w:basedOn w:val="1"/>
    <w:next w:val="4"/>
    <w:link w:val="61"/>
    <w:qFormat/>
    <w:uiPriority w:val="0"/>
    <w:pPr>
      <w:keepNext/>
      <w:keepLines/>
      <w:numPr>
        <w:ilvl w:val="1"/>
        <w:numId w:val="1"/>
      </w:numPr>
      <w:spacing w:before="50"/>
      <w:jc w:val="left"/>
      <w:outlineLvl w:val="1"/>
    </w:pPr>
    <w:rPr>
      <w:rFonts w:ascii="Arial" w:hAnsi="Arial" w:eastAsia="黑体"/>
      <w:kern w:val="0"/>
      <w:sz w:val="32"/>
      <w:szCs w:val="20"/>
    </w:rPr>
  </w:style>
  <w:style w:type="paragraph" w:styleId="6">
    <w:name w:val="heading 3"/>
    <w:basedOn w:val="1"/>
    <w:next w:val="4"/>
    <w:link w:val="62"/>
    <w:qFormat/>
    <w:uiPriority w:val="0"/>
    <w:pPr>
      <w:keepNext/>
      <w:keepLines/>
      <w:numPr>
        <w:ilvl w:val="2"/>
        <w:numId w:val="1"/>
      </w:numPr>
      <w:spacing w:before="50"/>
      <w:outlineLvl w:val="2"/>
    </w:pPr>
    <w:rPr>
      <w:rFonts w:ascii="Arial" w:hAnsi="Arial" w:eastAsia="黑体"/>
      <w:kern w:val="0"/>
      <w:sz w:val="30"/>
      <w:szCs w:val="30"/>
    </w:rPr>
  </w:style>
  <w:style w:type="paragraph" w:styleId="7">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8">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9">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10">
    <w:name w:val="heading 7"/>
    <w:basedOn w:val="1"/>
    <w:next w:val="5"/>
    <w:link w:val="66"/>
    <w:qFormat/>
    <w:uiPriority w:val="0"/>
    <w:pPr>
      <w:keepNext/>
      <w:keepLines/>
      <w:spacing w:before="240" w:after="64" w:line="320" w:lineRule="auto"/>
      <w:outlineLvl w:val="6"/>
    </w:pPr>
    <w:rPr>
      <w:b/>
      <w:kern w:val="0"/>
      <w:sz w:val="24"/>
      <w:szCs w:val="20"/>
    </w:rPr>
  </w:style>
  <w:style w:type="paragraph" w:styleId="11">
    <w:name w:val="heading 8"/>
    <w:basedOn w:val="1"/>
    <w:next w:val="5"/>
    <w:link w:val="67"/>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5"/>
    <w:link w:val="68"/>
    <w:qFormat/>
    <w:uiPriority w:val="0"/>
    <w:pPr>
      <w:keepNext/>
      <w:keepLines/>
      <w:spacing w:before="240" w:after="64" w:line="320" w:lineRule="auto"/>
      <w:outlineLvl w:val="8"/>
    </w:pPr>
    <w:rPr>
      <w:rFonts w:ascii="Arial" w:hAnsi="Arial" w:eastAsia="黑体"/>
      <w:kern w:val="0"/>
      <w:sz w:val="20"/>
      <w:szCs w:val="20"/>
    </w:rPr>
  </w:style>
  <w:style w:type="character" w:default="1" w:styleId="51">
    <w:name w:val="Default Paragraph Font"/>
    <w:semiHidden/>
    <w:unhideWhenUsed/>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Í¼±íÕýÎÄ"/>
    <w:basedOn w:val="1"/>
    <w:next w:val="5"/>
    <w:qFormat/>
    <w:uiPriority w:val="0"/>
    <w:pPr>
      <w:ind w:firstLine="420" w:firstLineChars="200"/>
    </w:pPr>
    <w:rPr>
      <w:sz w:val="24"/>
      <w:szCs w:val="20"/>
    </w:rPr>
  </w:style>
  <w:style w:type="paragraph" w:styleId="5">
    <w:name w:val="Normal Indent"/>
    <w:basedOn w:val="1"/>
    <w:link w:val="70"/>
    <w:qFormat/>
    <w:uiPriority w:val="0"/>
    <w:pPr>
      <w:ind w:firstLine="420" w:firstLineChars="200"/>
    </w:pPr>
    <w:rPr>
      <w:rFonts w:asciiTheme="minorHAnsi" w:hAnsiTheme="minorHAnsi" w:eastAsiaTheme="minorEastAsia" w:cstheme="minorBidi"/>
      <w:sz w:val="24"/>
      <w:szCs w:val="22"/>
    </w:rPr>
  </w:style>
  <w:style w:type="paragraph" w:styleId="13">
    <w:name w:val="List 3"/>
    <w:basedOn w:val="1"/>
    <w:qFormat/>
    <w:uiPriority w:val="0"/>
    <w:pPr>
      <w:ind w:left="100" w:leftChars="400" w:hanging="200" w:hangingChars="200"/>
    </w:pPr>
    <w:rPr>
      <w:rFonts w:eastAsia="楷体_GB2312"/>
      <w:sz w:val="26"/>
      <w:szCs w:val="20"/>
    </w:rPr>
  </w:style>
  <w:style w:type="paragraph" w:styleId="14">
    <w:name w:val="annotation subject"/>
    <w:basedOn w:val="15"/>
    <w:next w:val="15"/>
    <w:link w:val="144"/>
    <w:uiPriority w:val="0"/>
    <w:rPr>
      <w:b/>
      <w:bCs/>
    </w:rPr>
  </w:style>
  <w:style w:type="paragraph" w:styleId="15">
    <w:name w:val="annotation text"/>
    <w:basedOn w:val="1"/>
    <w:link w:val="143"/>
    <w:unhideWhenUsed/>
    <w:uiPriority w:val="99"/>
    <w:pPr>
      <w:jc w:val="left"/>
    </w:pPr>
  </w:style>
  <w:style w:type="paragraph" w:styleId="16">
    <w:name w:val="toc 7"/>
    <w:basedOn w:val="1"/>
    <w:next w:val="1"/>
    <w:uiPriority w:val="0"/>
    <w:pPr>
      <w:adjustRightInd w:val="0"/>
      <w:spacing w:line="312" w:lineRule="atLeast"/>
      <w:ind w:left="1260"/>
      <w:jc w:val="left"/>
      <w:textAlignment w:val="baseline"/>
    </w:pPr>
    <w:rPr>
      <w:kern w:val="0"/>
      <w:sz w:val="18"/>
      <w:szCs w:val="18"/>
    </w:rPr>
  </w:style>
  <w:style w:type="paragraph" w:styleId="17">
    <w:name w:val="Body Text First Indent"/>
    <w:basedOn w:val="18"/>
    <w:link w:val="141"/>
    <w:uiPriority w:val="0"/>
    <w:pPr>
      <w:ind w:firstLine="420"/>
    </w:pPr>
    <w:rPr>
      <w:szCs w:val="20"/>
    </w:rPr>
  </w:style>
  <w:style w:type="paragraph" w:styleId="18">
    <w:name w:val="Body Text"/>
    <w:basedOn w:val="1"/>
    <w:link w:val="140"/>
    <w:unhideWhenUsed/>
    <w:uiPriority w:val="0"/>
    <w:pPr>
      <w:spacing w:after="120"/>
    </w:pPr>
  </w:style>
  <w:style w:type="paragraph" w:styleId="19">
    <w:name w:val="List Number 2"/>
    <w:basedOn w:val="1"/>
    <w:uiPriority w:val="0"/>
    <w:pPr>
      <w:widowControl/>
      <w:tabs>
        <w:tab w:val="left" w:pos="820"/>
      </w:tabs>
      <w:spacing w:afterLines="50"/>
      <w:ind w:left="820" w:hanging="420"/>
      <w:jc w:val="left"/>
    </w:pPr>
    <w:rPr>
      <w:kern w:val="0"/>
      <w:sz w:val="24"/>
      <w:szCs w:val="20"/>
    </w:rPr>
  </w:style>
  <w:style w:type="paragraph" w:styleId="20">
    <w:name w:val="List Number"/>
    <w:basedOn w:val="1"/>
    <w:qFormat/>
    <w:uiPriority w:val="0"/>
    <w:pPr>
      <w:adjustRightInd w:val="0"/>
      <w:spacing w:line="360" w:lineRule="auto"/>
      <w:ind w:left="850" w:hanging="425"/>
      <w:textAlignment w:val="baseline"/>
    </w:pPr>
    <w:rPr>
      <w:color w:val="000000"/>
      <w:kern w:val="0"/>
      <w:szCs w:val="20"/>
    </w:rPr>
  </w:style>
  <w:style w:type="paragraph" w:styleId="21">
    <w:name w:val="caption"/>
    <w:basedOn w:val="1"/>
    <w:next w:val="1"/>
    <w:qFormat/>
    <w:uiPriority w:val="0"/>
    <w:pPr>
      <w:spacing w:before="152" w:after="160"/>
    </w:pPr>
    <w:rPr>
      <w:rFonts w:ascii="Arial" w:hAnsi="Arial" w:eastAsia="黑体"/>
      <w:sz w:val="32"/>
      <w:szCs w:val="20"/>
    </w:rPr>
  </w:style>
  <w:style w:type="paragraph" w:styleId="22">
    <w:name w:val="Document Map"/>
    <w:basedOn w:val="1"/>
    <w:link w:val="142"/>
    <w:unhideWhenUsed/>
    <w:qFormat/>
    <w:uiPriority w:val="0"/>
    <w:rPr>
      <w:rFonts w:ascii="宋体"/>
      <w:sz w:val="18"/>
      <w:szCs w:val="18"/>
    </w:rPr>
  </w:style>
  <w:style w:type="paragraph" w:styleId="23">
    <w:name w:val="Body Text 3"/>
    <w:basedOn w:val="1"/>
    <w:link w:val="168"/>
    <w:qFormat/>
    <w:uiPriority w:val="0"/>
    <w:pPr>
      <w:spacing w:after="120"/>
    </w:pPr>
    <w:rPr>
      <w:sz w:val="16"/>
      <w:szCs w:val="16"/>
    </w:rPr>
  </w:style>
  <w:style w:type="paragraph" w:styleId="24">
    <w:name w:val="Body Text Indent"/>
    <w:basedOn w:val="1"/>
    <w:link w:val="176"/>
    <w:uiPriority w:val="0"/>
    <w:pPr>
      <w:ind w:firstLine="640" w:firstLineChars="200"/>
    </w:pPr>
    <w:rPr>
      <w:rFonts w:ascii="仿宋_GB2312" w:hAnsi="Arial" w:eastAsia="仿宋_GB2312"/>
      <w:sz w:val="32"/>
      <w:szCs w:val="32"/>
    </w:rPr>
  </w:style>
  <w:style w:type="paragraph" w:styleId="25">
    <w:name w:val="List Number 3"/>
    <w:basedOn w:val="1"/>
    <w:uiPriority w:val="0"/>
    <w:pPr>
      <w:widowControl/>
      <w:tabs>
        <w:tab w:val="left" w:pos="1050"/>
      </w:tabs>
      <w:spacing w:afterLines="50"/>
      <w:ind w:left="1050" w:hanging="340"/>
      <w:jc w:val="left"/>
    </w:pPr>
    <w:rPr>
      <w:kern w:val="0"/>
      <w:sz w:val="24"/>
      <w:szCs w:val="20"/>
    </w:rPr>
  </w:style>
  <w:style w:type="paragraph" w:styleId="26">
    <w:name w:val="List 2"/>
    <w:basedOn w:val="1"/>
    <w:uiPriority w:val="0"/>
    <w:pPr>
      <w:numPr>
        <w:ilvl w:val="0"/>
        <w:numId w:val="2"/>
      </w:numPr>
      <w:spacing w:line="360" w:lineRule="exact"/>
    </w:pPr>
    <w:rPr>
      <w:bCs/>
    </w:rPr>
  </w:style>
  <w:style w:type="paragraph" w:styleId="27">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8">
    <w:name w:val="toc 5"/>
    <w:basedOn w:val="1"/>
    <w:next w:val="1"/>
    <w:uiPriority w:val="0"/>
    <w:pPr>
      <w:adjustRightInd w:val="0"/>
      <w:spacing w:line="312" w:lineRule="atLeast"/>
      <w:ind w:left="840"/>
      <w:jc w:val="left"/>
      <w:textAlignment w:val="baseline"/>
    </w:pPr>
    <w:rPr>
      <w:kern w:val="0"/>
      <w:sz w:val="18"/>
      <w:szCs w:val="18"/>
    </w:rPr>
  </w:style>
  <w:style w:type="paragraph" w:styleId="29">
    <w:name w:val="toc 3"/>
    <w:basedOn w:val="1"/>
    <w:next w:val="1"/>
    <w:unhideWhenUsed/>
    <w:qFormat/>
    <w:uiPriority w:val="0"/>
    <w:pPr>
      <w:ind w:left="840" w:leftChars="400"/>
    </w:pPr>
    <w:rPr>
      <w:rFonts w:ascii="Calibri" w:hAnsi="Calibri"/>
      <w:szCs w:val="22"/>
    </w:rPr>
  </w:style>
  <w:style w:type="paragraph" w:styleId="30">
    <w:name w:val="Plain Text"/>
    <w:basedOn w:val="1"/>
    <w:link w:val="185"/>
    <w:qFormat/>
    <w:uiPriority w:val="99"/>
    <w:rPr>
      <w:rFonts w:ascii="宋体" w:hAnsi="Courier New"/>
      <w:szCs w:val="20"/>
    </w:rPr>
  </w:style>
  <w:style w:type="paragraph" w:styleId="31">
    <w:name w:val="toc 8"/>
    <w:basedOn w:val="1"/>
    <w:next w:val="1"/>
    <w:qFormat/>
    <w:uiPriority w:val="0"/>
    <w:pPr>
      <w:adjustRightInd w:val="0"/>
      <w:spacing w:line="312" w:lineRule="atLeast"/>
      <w:ind w:left="1470"/>
      <w:jc w:val="left"/>
      <w:textAlignment w:val="baseline"/>
    </w:pPr>
    <w:rPr>
      <w:kern w:val="0"/>
      <w:sz w:val="18"/>
      <w:szCs w:val="18"/>
    </w:rPr>
  </w:style>
  <w:style w:type="paragraph" w:styleId="32">
    <w:name w:val="Date"/>
    <w:basedOn w:val="1"/>
    <w:next w:val="1"/>
    <w:link w:val="162"/>
    <w:qFormat/>
    <w:uiPriority w:val="0"/>
    <w:pPr>
      <w:spacing w:before="50"/>
      <w:ind w:left="200" w:firstLine="200" w:firstLineChars="200"/>
    </w:pPr>
    <w:rPr>
      <w:sz w:val="24"/>
      <w:szCs w:val="20"/>
    </w:rPr>
  </w:style>
  <w:style w:type="paragraph" w:styleId="33">
    <w:name w:val="Body Text Indent 2"/>
    <w:basedOn w:val="1"/>
    <w:link w:val="166"/>
    <w:qFormat/>
    <w:uiPriority w:val="0"/>
    <w:pPr>
      <w:adjustRightInd w:val="0"/>
      <w:snapToGrid w:val="0"/>
      <w:spacing w:line="312" w:lineRule="auto"/>
      <w:ind w:firstLine="397"/>
    </w:pPr>
    <w:rPr>
      <w:rFonts w:ascii="楷体_GB2312" w:eastAsia="楷体_GB2312"/>
      <w:sz w:val="24"/>
      <w:szCs w:val="20"/>
    </w:rPr>
  </w:style>
  <w:style w:type="paragraph" w:styleId="34">
    <w:name w:val="Balloon Text"/>
    <w:basedOn w:val="1"/>
    <w:link w:val="155"/>
    <w:qFormat/>
    <w:uiPriority w:val="0"/>
    <w:rPr>
      <w:sz w:val="18"/>
      <w:szCs w:val="18"/>
    </w:rPr>
  </w:style>
  <w:style w:type="paragraph" w:styleId="35">
    <w:name w:val="footer"/>
    <w:basedOn w:val="1"/>
    <w:link w:val="172"/>
    <w:qFormat/>
    <w:uiPriority w:val="99"/>
    <w:pPr>
      <w:tabs>
        <w:tab w:val="center" w:pos="4153"/>
        <w:tab w:val="right" w:pos="8306"/>
      </w:tabs>
      <w:snapToGrid w:val="0"/>
      <w:jc w:val="left"/>
    </w:pPr>
    <w:rPr>
      <w:sz w:val="18"/>
      <w:szCs w:val="18"/>
    </w:rPr>
  </w:style>
  <w:style w:type="paragraph" w:styleId="36">
    <w:name w:val="Body Text First Indent 2"/>
    <w:basedOn w:val="24"/>
    <w:link w:val="183"/>
    <w:qFormat/>
    <w:uiPriority w:val="0"/>
    <w:pPr>
      <w:adjustRightInd w:val="0"/>
      <w:spacing w:after="120" w:line="360" w:lineRule="auto"/>
      <w:ind w:left="420" w:firstLine="420" w:firstLineChars="0"/>
      <w:textAlignment w:val="baseline"/>
    </w:pPr>
    <w:rPr>
      <w:color w:val="000000"/>
      <w:sz w:val="21"/>
    </w:rPr>
  </w:style>
  <w:style w:type="paragraph" w:styleId="37">
    <w:name w:val="header"/>
    <w:basedOn w:val="1"/>
    <w:link w:val="159"/>
    <w:qFormat/>
    <w:uiPriority w:val="99"/>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70"/>
    <w:qFormat/>
    <w:uiPriority w:val="0"/>
    <w:pPr>
      <w:widowControl/>
      <w:jc w:val="left"/>
    </w:pPr>
    <w:rPr>
      <w:rFonts w:ascii="Tahoma" w:hAnsi="Tahoma" w:cs="Tahoma" w:eastAsiaTheme="minorEastAsia"/>
      <w:sz w:val="24"/>
      <w:szCs w:val="22"/>
      <w:lang w:val="de-DE" w:eastAsia="de-DE"/>
    </w:rPr>
  </w:style>
  <w:style w:type="paragraph" w:styleId="39">
    <w:name w:val="toc 1"/>
    <w:basedOn w:val="1"/>
    <w:next w:val="1"/>
    <w:qFormat/>
    <w:uiPriority w:val="39"/>
    <w:pPr>
      <w:spacing w:before="120" w:after="120"/>
      <w:jc w:val="left"/>
    </w:pPr>
    <w:rPr>
      <w:b/>
      <w:bCs/>
      <w:caps/>
      <w:sz w:val="20"/>
      <w:szCs w:val="20"/>
    </w:rPr>
  </w:style>
  <w:style w:type="paragraph" w:styleId="40">
    <w:name w:val="toc 4"/>
    <w:basedOn w:val="1"/>
    <w:next w:val="1"/>
    <w:uiPriority w:val="0"/>
    <w:pPr>
      <w:adjustRightInd w:val="0"/>
      <w:spacing w:line="312" w:lineRule="atLeast"/>
      <w:ind w:left="630"/>
      <w:jc w:val="left"/>
      <w:textAlignment w:val="baseline"/>
    </w:pPr>
    <w:rPr>
      <w:kern w:val="0"/>
      <w:sz w:val="18"/>
      <w:szCs w:val="18"/>
    </w:rPr>
  </w:style>
  <w:style w:type="paragraph" w:styleId="41">
    <w:name w:val="index heading"/>
    <w:basedOn w:val="1"/>
    <w:next w:val="42"/>
    <w:uiPriority w:val="0"/>
    <w:rPr>
      <w:szCs w:val="20"/>
    </w:rPr>
  </w:style>
  <w:style w:type="paragraph" w:styleId="42">
    <w:name w:val="index 1"/>
    <w:basedOn w:val="1"/>
    <w:next w:val="1"/>
    <w:unhideWhenUsed/>
    <w:qFormat/>
    <w:uiPriority w:val="0"/>
    <w:pPr>
      <w:adjustRightInd w:val="0"/>
      <w:spacing w:line="312" w:lineRule="atLeast"/>
      <w:textAlignment w:val="baseline"/>
    </w:pPr>
    <w:rPr>
      <w:kern w:val="0"/>
      <w:szCs w:val="20"/>
    </w:rPr>
  </w:style>
  <w:style w:type="paragraph" w:styleId="43">
    <w:name w:val="toc 6"/>
    <w:basedOn w:val="1"/>
    <w:next w:val="1"/>
    <w:qFormat/>
    <w:uiPriority w:val="0"/>
    <w:pPr>
      <w:adjustRightInd w:val="0"/>
      <w:spacing w:line="312" w:lineRule="atLeast"/>
      <w:ind w:left="1050"/>
      <w:jc w:val="left"/>
      <w:textAlignment w:val="baseline"/>
    </w:pPr>
    <w:rPr>
      <w:kern w:val="0"/>
      <w:sz w:val="18"/>
      <w:szCs w:val="18"/>
    </w:rPr>
  </w:style>
  <w:style w:type="paragraph" w:styleId="44">
    <w:name w:val="Body Text Indent 3"/>
    <w:basedOn w:val="1"/>
    <w:link w:val="157"/>
    <w:qFormat/>
    <w:uiPriority w:val="0"/>
    <w:pPr>
      <w:adjustRightInd w:val="0"/>
      <w:snapToGrid w:val="0"/>
      <w:spacing w:line="336" w:lineRule="auto"/>
      <w:ind w:firstLine="397"/>
    </w:pPr>
    <w:rPr>
      <w:rFonts w:ascii="楷体_GB2312" w:eastAsia="楷体_GB2312"/>
      <w:b/>
      <w:bCs/>
      <w:sz w:val="24"/>
      <w:szCs w:val="20"/>
    </w:rPr>
  </w:style>
  <w:style w:type="paragraph" w:styleId="45">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6">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7">
    <w:name w:val="toc 9"/>
    <w:basedOn w:val="1"/>
    <w:next w:val="1"/>
    <w:qFormat/>
    <w:uiPriority w:val="0"/>
    <w:pPr>
      <w:adjustRightInd w:val="0"/>
      <w:spacing w:line="312" w:lineRule="atLeast"/>
      <w:ind w:left="1680"/>
      <w:jc w:val="left"/>
      <w:textAlignment w:val="baseline"/>
    </w:pPr>
    <w:rPr>
      <w:kern w:val="0"/>
      <w:sz w:val="18"/>
      <w:szCs w:val="18"/>
    </w:rPr>
  </w:style>
  <w:style w:type="paragraph" w:styleId="48">
    <w:name w:val="Body Text 2"/>
    <w:basedOn w:val="1"/>
    <w:link w:val="149"/>
    <w:qFormat/>
    <w:uiPriority w:val="0"/>
    <w:pPr>
      <w:widowControl/>
      <w:jc w:val="center"/>
    </w:pPr>
    <w:rPr>
      <w:rFonts w:ascii="Arial" w:hAnsi="Arial"/>
      <w:kern w:val="0"/>
      <w:sz w:val="16"/>
      <w:szCs w:val="20"/>
    </w:rPr>
  </w:style>
  <w:style w:type="paragraph" w:styleId="49">
    <w:name w:val="HTML Preformatted"/>
    <w:basedOn w:val="1"/>
    <w:link w:val="3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szCs w:val="20"/>
    </w:rPr>
  </w:style>
  <w:style w:type="paragraph" w:styleId="5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52">
    <w:name w:val="Strong"/>
    <w:qFormat/>
    <w:uiPriority w:val="0"/>
    <w:rPr>
      <w:b/>
      <w:bCs/>
    </w:rPr>
  </w:style>
  <w:style w:type="character" w:styleId="53">
    <w:name w:val="page number"/>
    <w:qFormat/>
    <w:uiPriority w:val="0"/>
  </w:style>
  <w:style w:type="character" w:styleId="54">
    <w:name w:val="FollowedHyperlink"/>
    <w:unhideWhenUsed/>
    <w:qFormat/>
    <w:uiPriority w:val="99"/>
    <w:rPr>
      <w:color w:val="800080"/>
      <w:u w:val="single"/>
    </w:rPr>
  </w:style>
  <w:style w:type="character" w:styleId="55">
    <w:name w:val="Emphasis"/>
    <w:qFormat/>
    <w:uiPriority w:val="0"/>
    <w:rPr>
      <w:color w:val="CC0033"/>
    </w:rPr>
  </w:style>
  <w:style w:type="character" w:styleId="56">
    <w:name w:val="Hyperlink"/>
    <w:qFormat/>
    <w:uiPriority w:val="99"/>
    <w:rPr>
      <w:color w:val="0000FF"/>
      <w:u w:val="single"/>
    </w:rPr>
  </w:style>
  <w:style w:type="character" w:styleId="57">
    <w:name w:val="annotation reference"/>
    <w:qFormat/>
    <w:uiPriority w:val="99"/>
    <w:rPr>
      <w:sz w:val="21"/>
      <w:szCs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0">
    <w:name w:val="标题 1 Char"/>
    <w:basedOn w:val="51"/>
    <w:link w:val="2"/>
    <w:qFormat/>
    <w:uiPriority w:val="0"/>
    <w:rPr>
      <w:rFonts w:ascii="Times New Roman" w:hAnsi="Times New Roman" w:eastAsia="黑体" w:cs="Times New Roman"/>
      <w:b/>
      <w:kern w:val="0"/>
      <w:sz w:val="44"/>
      <w:szCs w:val="20"/>
    </w:rPr>
  </w:style>
  <w:style w:type="character" w:customStyle="1" w:styleId="61">
    <w:name w:val="标题 2 Char"/>
    <w:basedOn w:val="51"/>
    <w:link w:val="3"/>
    <w:qFormat/>
    <w:uiPriority w:val="0"/>
    <w:rPr>
      <w:rFonts w:ascii="Arial" w:hAnsi="Arial" w:eastAsia="黑体" w:cs="Times New Roman"/>
      <w:kern w:val="0"/>
      <w:sz w:val="32"/>
      <w:szCs w:val="20"/>
    </w:rPr>
  </w:style>
  <w:style w:type="character" w:customStyle="1" w:styleId="62">
    <w:name w:val="标题 3 Char"/>
    <w:basedOn w:val="51"/>
    <w:link w:val="6"/>
    <w:qFormat/>
    <w:uiPriority w:val="0"/>
    <w:rPr>
      <w:rFonts w:ascii="Arial" w:hAnsi="Arial" w:eastAsia="黑体" w:cs="Times New Roman"/>
      <w:kern w:val="0"/>
      <w:sz w:val="30"/>
      <w:szCs w:val="30"/>
    </w:rPr>
  </w:style>
  <w:style w:type="character" w:customStyle="1" w:styleId="63">
    <w:name w:val="标题 4 Char"/>
    <w:basedOn w:val="51"/>
    <w:link w:val="7"/>
    <w:qFormat/>
    <w:uiPriority w:val="0"/>
    <w:rPr>
      <w:rFonts w:ascii="Calibri" w:hAnsi="Calibri" w:eastAsia="楷体_GB2312" w:cs="Times New Roman"/>
      <w:b/>
      <w:bCs/>
      <w:kern w:val="0"/>
      <w:sz w:val="28"/>
      <w:szCs w:val="28"/>
    </w:rPr>
  </w:style>
  <w:style w:type="character" w:customStyle="1" w:styleId="64">
    <w:name w:val="标题 5 Char"/>
    <w:basedOn w:val="51"/>
    <w:link w:val="8"/>
    <w:uiPriority w:val="0"/>
    <w:rPr>
      <w:rFonts w:ascii="Calibri" w:hAnsi="Calibri" w:eastAsia="宋体" w:cs="Times New Roman"/>
      <w:b/>
      <w:bCs/>
      <w:kern w:val="0"/>
      <w:sz w:val="28"/>
      <w:szCs w:val="28"/>
    </w:rPr>
  </w:style>
  <w:style w:type="character" w:customStyle="1" w:styleId="65">
    <w:name w:val="标题 6 Char"/>
    <w:basedOn w:val="51"/>
    <w:link w:val="9"/>
    <w:uiPriority w:val="0"/>
    <w:rPr>
      <w:rFonts w:ascii="Arial" w:hAnsi="Arial" w:eastAsia="黑体" w:cs="Times New Roman"/>
      <w:b/>
      <w:bCs/>
      <w:kern w:val="0"/>
      <w:sz w:val="24"/>
      <w:szCs w:val="24"/>
    </w:rPr>
  </w:style>
  <w:style w:type="character" w:customStyle="1" w:styleId="66">
    <w:name w:val="标题 7 Char"/>
    <w:basedOn w:val="51"/>
    <w:link w:val="10"/>
    <w:qFormat/>
    <w:uiPriority w:val="0"/>
    <w:rPr>
      <w:rFonts w:ascii="Times New Roman" w:hAnsi="Times New Roman" w:eastAsia="宋体" w:cs="Times New Roman"/>
      <w:b/>
      <w:kern w:val="0"/>
      <w:sz w:val="24"/>
      <w:szCs w:val="20"/>
    </w:rPr>
  </w:style>
  <w:style w:type="character" w:customStyle="1" w:styleId="67">
    <w:name w:val="标题 8 Char"/>
    <w:basedOn w:val="51"/>
    <w:link w:val="11"/>
    <w:qFormat/>
    <w:uiPriority w:val="0"/>
    <w:rPr>
      <w:rFonts w:ascii="Arial" w:hAnsi="Arial" w:eastAsia="黑体" w:cs="Times New Roman"/>
      <w:kern w:val="0"/>
      <w:sz w:val="24"/>
      <w:szCs w:val="20"/>
    </w:rPr>
  </w:style>
  <w:style w:type="character" w:customStyle="1" w:styleId="68">
    <w:name w:val="标题 9 Char"/>
    <w:basedOn w:val="51"/>
    <w:link w:val="12"/>
    <w:uiPriority w:val="0"/>
    <w:rPr>
      <w:rFonts w:ascii="Arial" w:hAnsi="Arial" w:eastAsia="黑体" w:cs="Times New Roman"/>
      <w:kern w:val="0"/>
      <w:sz w:val="20"/>
      <w:szCs w:val="20"/>
    </w:rPr>
  </w:style>
  <w:style w:type="character" w:customStyle="1" w:styleId="69">
    <w:name w:val="正文文本 2 Char"/>
    <w:link w:val="48"/>
    <w:qFormat/>
    <w:uiPriority w:val="0"/>
    <w:rPr>
      <w:rFonts w:ascii="Arial" w:hAnsi="Arial" w:eastAsia="宋体" w:cs="Times New Roman"/>
      <w:kern w:val="0"/>
      <w:sz w:val="16"/>
      <w:szCs w:val="20"/>
    </w:rPr>
  </w:style>
  <w:style w:type="character" w:customStyle="1" w:styleId="70">
    <w:name w:val="正文缩进 Char1"/>
    <w:link w:val="5"/>
    <w:qFormat/>
    <w:uiPriority w:val="0"/>
    <w:rPr>
      <w:sz w:val="24"/>
    </w:rPr>
  </w:style>
  <w:style w:type="character" w:customStyle="1" w:styleId="71">
    <w:name w:val="纯文本 Char1"/>
    <w:link w:val="30"/>
    <w:qFormat/>
    <w:uiPriority w:val="99"/>
    <w:rPr>
      <w:rFonts w:ascii="宋体" w:hAnsi="Courier New" w:eastAsia="宋体" w:cs="Times New Roman"/>
      <w:szCs w:val="20"/>
    </w:rPr>
  </w:style>
  <w:style w:type="character" w:customStyle="1" w:styleId="72">
    <w:name w:val="页眉 Char"/>
    <w:link w:val="37"/>
    <w:qFormat/>
    <w:uiPriority w:val="99"/>
    <w:rPr>
      <w:rFonts w:ascii="Times New Roman" w:hAnsi="Times New Roman" w:eastAsia="宋体" w:cs="Times New Roman"/>
      <w:sz w:val="18"/>
      <w:szCs w:val="18"/>
    </w:rPr>
  </w:style>
  <w:style w:type="character" w:customStyle="1" w:styleId="73">
    <w:name w:val="页脚 Char"/>
    <w:link w:val="35"/>
    <w:qFormat/>
    <w:uiPriority w:val="99"/>
    <w:rPr>
      <w:rFonts w:ascii="Times New Roman" w:hAnsi="Times New Roman" w:eastAsia="宋体" w:cs="Times New Roman"/>
      <w:sz w:val="18"/>
      <w:szCs w:val="18"/>
    </w:rPr>
  </w:style>
  <w:style w:type="character" w:customStyle="1" w:styleId="74">
    <w:name w:val="批注文字 Char"/>
    <w:qFormat/>
    <w:uiPriority w:val="99"/>
    <w:rPr>
      <w:rFonts w:ascii="Times New Roman" w:hAnsi="Times New Roman" w:eastAsia="宋体" w:cs="Times New Roman"/>
      <w:szCs w:val="24"/>
    </w:rPr>
  </w:style>
  <w:style w:type="character" w:customStyle="1" w:styleId="75">
    <w:name w:val="批注主题 Char"/>
    <w:link w:val="14"/>
    <w:uiPriority w:val="0"/>
    <w:rPr>
      <w:rFonts w:ascii="Times New Roman" w:hAnsi="Times New Roman" w:eastAsia="宋体" w:cs="Times New Roman"/>
      <w:b/>
      <w:bCs/>
      <w:szCs w:val="24"/>
    </w:rPr>
  </w:style>
  <w:style w:type="character" w:customStyle="1" w:styleId="76">
    <w:name w:val="批注框文本 Char"/>
    <w:link w:val="34"/>
    <w:uiPriority w:val="0"/>
    <w:rPr>
      <w:rFonts w:ascii="Times New Roman" w:hAnsi="Times New Roman" w:eastAsia="宋体" w:cs="Times New Roman"/>
      <w:sz w:val="18"/>
      <w:szCs w:val="18"/>
    </w:rPr>
  </w:style>
  <w:style w:type="character" w:customStyle="1" w:styleId="77">
    <w:name w:val="正文文本缩进 3 Char"/>
    <w:link w:val="44"/>
    <w:qFormat/>
    <w:uiPriority w:val="0"/>
    <w:rPr>
      <w:rFonts w:ascii="楷体_GB2312" w:hAnsi="Times New Roman" w:eastAsia="楷体_GB2312" w:cs="Times New Roman"/>
      <w:b/>
      <w:bCs/>
      <w:sz w:val="24"/>
      <w:szCs w:val="20"/>
    </w:rPr>
  </w:style>
  <w:style w:type="character" w:customStyle="1" w:styleId="78">
    <w:name w:val="样式 正文缩进 + 首行缩进:  2 字符 Char"/>
    <w:link w:val="79"/>
    <w:qFormat/>
    <w:uiPriority w:val="0"/>
    <w:rPr>
      <w:sz w:val="24"/>
    </w:rPr>
  </w:style>
  <w:style w:type="paragraph" w:customStyle="1" w:styleId="79">
    <w:name w:val="样式 正文缩进 + 首行缩进:  2 字符"/>
    <w:basedOn w:val="5"/>
    <w:link w:val="78"/>
    <w:qFormat/>
    <w:uiPriority w:val="0"/>
    <w:pPr>
      <w:spacing w:line="360" w:lineRule="auto"/>
      <w:ind w:firstLine="200"/>
    </w:pPr>
  </w:style>
  <w:style w:type="character" w:customStyle="1" w:styleId="80">
    <w:name w:val="日期 Char"/>
    <w:link w:val="32"/>
    <w:qFormat/>
    <w:uiPriority w:val="0"/>
    <w:rPr>
      <w:rFonts w:ascii="Times New Roman" w:hAnsi="Times New Roman" w:eastAsia="宋体" w:cs="Times New Roman"/>
      <w:sz w:val="24"/>
      <w:szCs w:val="20"/>
    </w:rPr>
  </w:style>
  <w:style w:type="character" w:customStyle="1" w:styleId="81">
    <w:name w:val="正文文本 Char"/>
    <w:uiPriority w:val="0"/>
    <w:rPr>
      <w:rFonts w:ascii="Times New Roman" w:hAnsi="Times New Roman" w:eastAsia="宋体" w:cs="Times New Roman"/>
      <w:szCs w:val="24"/>
    </w:rPr>
  </w:style>
  <w:style w:type="character" w:customStyle="1" w:styleId="82">
    <w:name w:val="ca-1"/>
    <w:qFormat/>
    <w:uiPriority w:val="0"/>
  </w:style>
  <w:style w:type="character" w:customStyle="1" w:styleId="83">
    <w:name w:val="样式1 Char Char"/>
    <w:link w:val="84"/>
    <w:uiPriority w:val="0"/>
    <w:rPr>
      <w:rFonts w:eastAsia="仿宋_GB2312"/>
      <w:spacing w:val="-6"/>
      <w:sz w:val="32"/>
      <w:szCs w:val="24"/>
    </w:rPr>
  </w:style>
  <w:style w:type="paragraph" w:customStyle="1" w:styleId="84">
    <w:name w:val="样式1"/>
    <w:basedOn w:val="1"/>
    <w:link w:val="83"/>
    <w:qFormat/>
    <w:uiPriority w:val="0"/>
    <w:pPr>
      <w:spacing w:line="340" w:lineRule="auto"/>
    </w:pPr>
    <w:rPr>
      <w:rFonts w:eastAsia="仿宋_GB2312" w:asciiTheme="minorHAnsi" w:hAnsiTheme="minorHAnsi" w:cstheme="minorBidi"/>
      <w:spacing w:val="-6"/>
      <w:sz w:val="32"/>
    </w:rPr>
  </w:style>
  <w:style w:type="character" w:customStyle="1" w:styleId="85">
    <w:name w:val="无间隔 Char"/>
    <w:link w:val="86"/>
    <w:qFormat/>
    <w:uiPriority w:val="1"/>
    <w:rPr>
      <w:sz w:val="22"/>
    </w:rPr>
  </w:style>
  <w:style w:type="paragraph" w:styleId="86">
    <w:name w:val="No Spacing"/>
    <w:link w:val="85"/>
    <w:qFormat/>
    <w:uiPriority w:val="1"/>
    <w:rPr>
      <w:rFonts w:asciiTheme="minorHAnsi" w:hAnsiTheme="minorHAnsi" w:eastAsiaTheme="minorEastAsia" w:cstheme="minorBidi"/>
      <w:kern w:val="2"/>
      <w:sz w:val="22"/>
      <w:szCs w:val="22"/>
      <w:lang w:val="en-US" w:eastAsia="zh-CN" w:bidi="ar-SA"/>
    </w:rPr>
  </w:style>
  <w:style w:type="character" w:customStyle="1" w:styleId="87">
    <w:name w:val="文档结构图 Char"/>
    <w:link w:val="22"/>
    <w:qFormat/>
    <w:uiPriority w:val="0"/>
    <w:rPr>
      <w:rFonts w:ascii="宋体" w:hAnsi="Times New Roman" w:eastAsia="宋体" w:cs="Times New Roman"/>
      <w:sz w:val="18"/>
      <w:szCs w:val="18"/>
    </w:rPr>
  </w:style>
  <w:style w:type="character" w:customStyle="1" w:styleId="88">
    <w:name w:val="Header Char"/>
    <w:qFormat/>
    <w:locked/>
    <w:uiPriority w:val="0"/>
    <w:rPr>
      <w:rFonts w:cs="Times New Roman"/>
      <w:kern w:val="2"/>
      <w:sz w:val="18"/>
      <w:szCs w:val="18"/>
    </w:rPr>
  </w:style>
  <w:style w:type="character" w:customStyle="1" w:styleId="89">
    <w:name w:val="Footer Char"/>
    <w:qFormat/>
    <w:locked/>
    <w:uiPriority w:val="0"/>
    <w:rPr>
      <w:rFonts w:cs="Times New Roman"/>
      <w:kern w:val="2"/>
      <w:sz w:val="18"/>
      <w:szCs w:val="18"/>
    </w:rPr>
  </w:style>
  <w:style w:type="character" w:customStyle="1" w:styleId="90">
    <w:name w:val="正文（绿盟科技） Char"/>
    <w:link w:val="91"/>
    <w:qFormat/>
    <w:locked/>
    <w:uiPriority w:val="0"/>
    <w:rPr>
      <w:rFonts w:ascii="Arial" w:hAnsi="Arial"/>
    </w:rPr>
  </w:style>
  <w:style w:type="paragraph" w:customStyle="1" w:styleId="91">
    <w:name w:val="正文（绿盟科技）"/>
    <w:link w:val="90"/>
    <w:qFormat/>
    <w:uiPriority w:val="0"/>
    <w:pPr>
      <w:spacing w:line="300" w:lineRule="auto"/>
    </w:pPr>
    <w:rPr>
      <w:rFonts w:ascii="Arial" w:hAnsi="Arial" w:eastAsiaTheme="minorEastAsia" w:cstheme="minorBidi"/>
      <w:kern w:val="2"/>
      <w:sz w:val="21"/>
      <w:szCs w:val="22"/>
      <w:lang w:val="en-US" w:eastAsia="zh-CN" w:bidi="ar-SA"/>
    </w:rPr>
  </w:style>
  <w:style w:type="character" w:customStyle="1" w:styleId="92">
    <w:name w:val="正文文本缩进 2 Char"/>
    <w:link w:val="33"/>
    <w:qFormat/>
    <w:uiPriority w:val="0"/>
    <w:rPr>
      <w:rFonts w:ascii="楷体_GB2312" w:hAnsi="Times New Roman" w:eastAsia="楷体_GB2312" w:cs="Times New Roman"/>
      <w:sz w:val="24"/>
      <w:szCs w:val="20"/>
    </w:rPr>
  </w:style>
  <w:style w:type="character" w:customStyle="1" w:styleId="93">
    <w:name w:val="正文首行缩进 Char"/>
    <w:link w:val="17"/>
    <w:uiPriority w:val="0"/>
    <w:rPr>
      <w:rFonts w:ascii="Times New Roman" w:hAnsi="Times New Roman" w:eastAsia="宋体" w:cs="Times New Roman"/>
      <w:szCs w:val="20"/>
    </w:rPr>
  </w:style>
  <w:style w:type="character" w:customStyle="1" w:styleId="94">
    <w:name w:val="正文文本 Char1"/>
    <w:qFormat/>
    <w:uiPriority w:val="0"/>
    <w:rPr>
      <w:rFonts w:ascii="宋体" w:hAnsi="宋体"/>
      <w:sz w:val="24"/>
      <w:szCs w:val="24"/>
    </w:rPr>
  </w:style>
  <w:style w:type="character" w:customStyle="1" w:styleId="95">
    <w:name w:val="正文文本缩进 Char"/>
    <w:qFormat/>
    <w:uiPriority w:val="99"/>
    <w:rPr>
      <w:rFonts w:ascii="Times New Roman" w:hAnsi="Times New Roman" w:eastAsia="宋体" w:cs="Times New Roman"/>
      <w:szCs w:val="24"/>
    </w:rPr>
  </w:style>
  <w:style w:type="character" w:customStyle="1" w:styleId="96">
    <w:name w:val="正文文本缩进 Char1"/>
    <w:link w:val="24"/>
    <w:qFormat/>
    <w:uiPriority w:val="0"/>
    <w:rPr>
      <w:rFonts w:ascii="仿宋_GB2312" w:hAnsi="Arial" w:eastAsia="仿宋_GB2312" w:cs="Times New Roman"/>
      <w:sz w:val="32"/>
      <w:szCs w:val="32"/>
    </w:rPr>
  </w:style>
  <w:style w:type="character" w:customStyle="1" w:styleId="97">
    <w:name w:val="reg"/>
    <w:qFormat/>
    <w:uiPriority w:val="0"/>
  </w:style>
  <w:style w:type="character" w:customStyle="1" w:styleId="98">
    <w:name w:val="small"/>
    <w:qFormat/>
    <w:uiPriority w:val="0"/>
  </w:style>
  <w:style w:type="character" w:customStyle="1" w:styleId="99">
    <w:name w:val="st1"/>
    <w:uiPriority w:val="0"/>
  </w:style>
  <w:style w:type="character" w:customStyle="1" w:styleId="100">
    <w:name w:val="标书正文格式 Char"/>
    <w:link w:val="101"/>
    <w:qFormat/>
    <w:uiPriority w:val="0"/>
    <w:rPr>
      <w:rFonts w:ascii="Times New Roman" w:hAnsi="Times New Roman" w:eastAsia="楷体_GB2312"/>
      <w:sz w:val="24"/>
      <w:szCs w:val="24"/>
    </w:rPr>
  </w:style>
  <w:style w:type="paragraph" w:customStyle="1" w:styleId="101">
    <w:name w:val="标书正文格式"/>
    <w:link w:val="100"/>
    <w:uiPriority w:val="0"/>
    <w:pPr>
      <w:spacing w:line="360" w:lineRule="auto"/>
      <w:ind w:firstLine="200" w:firstLineChars="200"/>
    </w:pPr>
    <w:rPr>
      <w:rFonts w:ascii="Times New Roman" w:hAnsi="Times New Roman" w:eastAsia="楷体_GB2312" w:cstheme="minorBidi"/>
      <w:kern w:val="2"/>
      <w:sz w:val="24"/>
      <w:szCs w:val="24"/>
      <w:lang w:val="en-US" w:eastAsia="zh-CN" w:bidi="ar-SA"/>
    </w:rPr>
  </w:style>
  <w:style w:type="character" w:customStyle="1" w:styleId="102">
    <w:name w:val="正文首行缩进2字 Char"/>
    <w:link w:val="103"/>
    <w:qFormat/>
    <w:uiPriority w:val="0"/>
    <w:rPr>
      <w:rFonts w:ascii="Times New Roman" w:hAnsi="Times New Roman" w:eastAsia="楷体_GB2312" w:cs="Times New Roman"/>
      <w:kern w:val="0"/>
      <w:sz w:val="28"/>
      <w:szCs w:val="24"/>
    </w:rPr>
  </w:style>
  <w:style w:type="paragraph" w:customStyle="1" w:styleId="103">
    <w:name w:val="正文首行缩进2字"/>
    <w:basedOn w:val="1"/>
    <w:link w:val="102"/>
    <w:qFormat/>
    <w:uiPriority w:val="0"/>
    <w:pPr>
      <w:ind w:firstLine="560" w:firstLineChars="200"/>
    </w:pPr>
    <w:rPr>
      <w:rFonts w:eastAsia="楷体_GB2312"/>
      <w:kern w:val="0"/>
      <w:sz w:val="28"/>
    </w:rPr>
  </w:style>
  <w:style w:type="character" w:customStyle="1" w:styleId="104">
    <w:name w:val="正文符号1 Char"/>
    <w:link w:val="105"/>
    <w:qFormat/>
    <w:uiPriority w:val="0"/>
    <w:rPr>
      <w:rFonts w:ascii="Times New Roman" w:hAnsi="Times New Roman" w:eastAsia="楷体_GB2312" w:cs="Times New Roman"/>
      <w:kern w:val="0"/>
      <w:sz w:val="28"/>
      <w:szCs w:val="24"/>
    </w:rPr>
  </w:style>
  <w:style w:type="paragraph" w:customStyle="1" w:styleId="105">
    <w:name w:val="正文符号1"/>
    <w:basedOn w:val="103"/>
    <w:link w:val="104"/>
    <w:qFormat/>
    <w:uiPriority w:val="0"/>
    <w:pPr>
      <w:numPr>
        <w:ilvl w:val="0"/>
        <w:numId w:val="3"/>
      </w:numPr>
      <w:ind w:firstLine="0" w:firstLineChars="0"/>
    </w:pPr>
  </w:style>
  <w:style w:type="character" w:customStyle="1" w:styleId="106">
    <w:name w:val="prodname1"/>
    <w:qFormat/>
    <w:uiPriority w:val="0"/>
    <w:rPr>
      <w:b/>
      <w:bCs/>
      <w:color w:val="347CA9"/>
      <w:sz w:val="17"/>
      <w:szCs w:val="17"/>
    </w:rPr>
  </w:style>
  <w:style w:type="character" w:customStyle="1" w:styleId="107">
    <w:name w:val="正文文本 3 Char"/>
    <w:link w:val="23"/>
    <w:qFormat/>
    <w:uiPriority w:val="0"/>
    <w:rPr>
      <w:rFonts w:ascii="Times New Roman" w:hAnsi="Times New Roman" w:eastAsia="宋体" w:cs="Times New Roman"/>
      <w:sz w:val="16"/>
      <w:szCs w:val="16"/>
    </w:rPr>
  </w:style>
  <w:style w:type="character" w:customStyle="1" w:styleId="108">
    <w:name w:val="Char Char Char"/>
    <w:qFormat/>
    <w:uiPriority w:val="0"/>
    <w:rPr>
      <w:kern w:val="2"/>
      <w:sz w:val="18"/>
      <w:szCs w:val="18"/>
    </w:rPr>
  </w:style>
  <w:style w:type="character" w:customStyle="1" w:styleId="109">
    <w:name w:val="正文首行缩进2字 Char Char"/>
    <w:qFormat/>
    <w:uiPriority w:val="0"/>
    <w:rPr>
      <w:rFonts w:eastAsia="楷体_GB2312"/>
      <w:sz w:val="28"/>
      <w:szCs w:val="24"/>
      <w:lang w:val="en-US" w:eastAsia="zh-CN" w:bidi="ar-SA"/>
    </w:rPr>
  </w:style>
  <w:style w:type="character" w:customStyle="1" w:styleId="110">
    <w:name w:val="标书正文格式 Char Char"/>
    <w:qFormat/>
    <w:uiPriority w:val="0"/>
    <w:rPr>
      <w:rFonts w:eastAsia="楷体_GB2312"/>
      <w:sz w:val="24"/>
      <w:szCs w:val="24"/>
      <w:lang w:bidi="ar-SA"/>
    </w:rPr>
  </w:style>
  <w:style w:type="character" w:customStyle="1" w:styleId="111">
    <w:name w:val="正文符号1 Char Char"/>
    <w:qFormat/>
    <w:uiPriority w:val="0"/>
    <w:rPr>
      <w:rFonts w:eastAsia="楷体_GB2312"/>
      <w:sz w:val="28"/>
      <w:szCs w:val="24"/>
      <w:lang w:val="en-US" w:eastAsia="zh-CN" w:bidi="ar-SA"/>
    </w:rPr>
  </w:style>
  <w:style w:type="character" w:customStyle="1" w:styleId="112">
    <w:name w:val="unnamed31"/>
    <w:qFormat/>
    <w:uiPriority w:val="0"/>
    <w:rPr>
      <w:rFonts w:hint="eastAsia" w:ascii="幼圆" w:eastAsia="幼圆"/>
      <w:sz w:val="21"/>
      <w:szCs w:val="21"/>
    </w:rPr>
  </w:style>
  <w:style w:type="character" w:customStyle="1" w:styleId="113">
    <w:name w:val="正文new Char Char"/>
    <w:link w:val="114"/>
    <w:qFormat/>
    <w:uiPriority w:val="0"/>
    <w:rPr>
      <w:rFonts w:cs="宋体"/>
      <w:kern w:val="21"/>
      <w:sz w:val="24"/>
    </w:rPr>
  </w:style>
  <w:style w:type="paragraph" w:customStyle="1" w:styleId="114">
    <w:name w:val="正文new"/>
    <w:basedOn w:val="1"/>
    <w:link w:val="113"/>
    <w:uiPriority w:val="0"/>
    <w:pPr>
      <w:spacing w:beforeLines="50" w:afterLines="50" w:line="300" w:lineRule="auto"/>
      <w:ind w:firstLine="200" w:firstLineChars="200"/>
    </w:pPr>
    <w:rPr>
      <w:rFonts w:cs="宋体" w:asciiTheme="minorHAnsi" w:hAnsiTheme="minorHAnsi" w:eastAsiaTheme="minorEastAsia"/>
      <w:kern w:val="21"/>
      <w:sz w:val="24"/>
      <w:szCs w:val="22"/>
    </w:rPr>
  </w:style>
  <w:style w:type="character" w:customStyle="1" w:styleId="115">
    <w:name w:val="style3"/>
    <w:qFormat/>
    <w:uiPriority w:val="0"/>
  </w:style>
  <w:style w:type="character" w:customStyle="1" w:styleId="116">
    <w:name w:val="unnamed1"/>
    <w:qFormat/>
    <w:uiPriority w:val="0"/>
  </w:style>
  <w:style w:type="character" w:customStyle="1" w:styleId="117">
    <w:name w:val="tpc_content1"/>
    <w:qFormat/>
    <w:uiPriority w:val="0"/>
    <w:rPr>
      <w:sz w:val="18"/>
      <w:szCs w:val="18"/>
    </w:rPr>
  </w:style>
  <w:style w:type="character" w:customStyle="1" w:styleId="118">
    <w:name w:val="文字 Char Char"/>
    <w:link w:val="119"/>
    <w:qFormat/>
    <w:uiPriority w:val="0"/>
    <w:rPr>
      <w:rFonts w:ascii="宋体" w:hAnsi="宋体"/>
      <w:sz w:val="28"/>
    </w:rPr>
  </w:style>
  <w:style w:type="paragraph" w:customStyle="1" w:styleId="119">
    <w:name w:val="文字"/>
    <w:basedOn w:val="1"/>
    <w:link w:val="118"/>
    <w:qFormat/>
    <w:uiPriority w:val="0"/>
    <w:pPr>
      <w:tabs>
        <w:tab w:val="left" w:pos="8520"/>
      </w:tabs>
      <w:spacing w:line="312" w:lineRule="auto"/>
      <w:ind w:right="-210" w:firstLine="556"/>
    </w:pPr>
    <w:rPr>
      <w:rFonts w:ascii="宋体" w:hAnsi="宋体" w:eastAsiaTheme="minorEastAsia" w:cstheme="minorBidi"/>
      <w:sz w:val="28"/>
      <w:szCs w:val="22"/>
    </w:rPr>
  </w:style>
  <w:style w:type="character" w:customStyle="1" w:styleId="120">
    <w:name w:val="txt1"/>
    <w:qFormat/>
    <w:uiPriority w:val="0"/>
    <w:rPr>
      <w:color w:val="000099"/>
      <w:sz w:val="20"/>
      <w:szCs w:val="20"/>
      <w:u w:val="none"/>
    </w:rPr>
  </w:style>
  <w:style w:type="character" w:customStyle="1" w:styleId="121">
    <w:name w:val="unnamed11"/>
    <w:uiPriority w:val="0"/>
  </w:style>
  <w:style w:type="character" w:customStyle="1" w:styleId="122">
    <w:name w:val="正文_标准 Char Char"/>
    <w:link w:val="123"/>
    <w:qFormat/>
    <w:uiPriority w:val="0"/>
    <w:rPr>
      <w:rFonts w:ascii="宋体" w:hAnsi="宋体"/>
      <w:sz w:val="24"/>
    </w:rPr>
  </w:style>
  <w:style w:type="paragraph" w:customStyle="1" w:styleId="123">
    <w:name w:val="正文_标准"/>
    <w:basedOn w:val="1"/>
    <w:link w:val="122"/>
    <w:qFormat/>
    <w:uiPriority w:val="0"/>
    <w:pPr>
      <w:spacing w:line="360" w:lineRule="auto"/>
      <w:ind w:firstLine="480" w:firstLineChars="200"/>
    </w:pPr>
    <w:rPr>
      <w:rFonts w:ascii="宋体" w:hAnsi="宋体" w:eastAsiaTheme="minorEastAsia" w:cstheme="minorBidi"/>
      <w:sz w:val="24"/>
      <w:szCs w:val="22"/>
    </w:rPr>
  </w:style>
  <w:style w:type="character" w:customStyle="1" w:styleId="124">
    <w:name w:val="项目编号（2） Char Char"/>
    <w:link w:val="125"/>
    <w:qFormat/>
    <w:uiPriority w:val="0"/>
    <w:rPr>
      <w:rFonts w:cs="宋体"/>
      <w:kern w:val="21"/>
      <w:sz w:val="24"/>
    </w:rPr>
  </w:style>
  <w:style w:type="paragraph" w:customStyle="1" w:styleId="125">
    <w:name w:val="项目编号（2）"/>
    <w:basedOn w:val="1"/>
    <w:link w:val="124"/>
    <w:qFormat/>
    <w:uiPriority w:val="0"/>
    <w:pPr>
      <w:tabs>
        <w:tab w:val="left" w:pos="960"/>
      </w:tabs>
      <w:spacing w:beforeLines="50" w:afterLines="50" w:line="300" w:lineRule="auto"/>
      <w:ind w:left="960" w:hanging="420"/>
    </w:pPr>
    <w:rPr>
      <w:rFonts w:cs="宋体" w:asciiTheme="minorHAnsi" w:hAnsiTheme="minorHAnsi" w:eastAsiaTheme="minorEastAsia"/>
      <w:kern w:val="21"/>
      <w:sz w:val="24"/>
      <w:szCs w:val="22"/>
    </w:rPr>
  </w:style>
  <w:style w:type="character" w:customStyle="1" w:styleId="126">
    <w:name w:val="unnamed21"/>
    <w:qFormat/>
    <w:uiPriority w:val="0"/>
    <w:rPr>
      <w:rFonts w:hint="eastAsia" w:ascii="宋体" w:hAnsi="宋体" w:eastAsia="宋体"/>
      <w:sz w:val="24"/>
      <w:szCs w:val="24"/>
    </w:rPr>
  </w:style>
  <w:style w:type="character" w:customStyle="1" w:styleId="127">
    <w:name w:val="fonta1"/>
    <w:qFormat/>
    <w:uiPriority w:val="0"/>
    <w:rPr>
      <w:rFonts w:hint="default"/>
      <w:sz w:val="30"/>
    </w:rPr>
  </w:style>
  <w:style w:type="character" w:customStyle="1" w:styleId="128">
    <w:name w:val="bt1"/>
    <w:uiPriority w:val="0"/>
    <w:rPr>
      <w:color w:val="000000"/>
    </w:rPr>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Theme="minorHAnsi" w:hAnsiTheme="minorHAnsi" w:eastAsiaTheme="minorEastAsia" w:cstheme="minorBidi"/>
      <w:spacing w:val="1"/>
      <w:sz w:val="24"/>
    </w:rPr>
  </w:style>
  <w:style w:type="character" w:customStyle="1" w:styleId="131">
    <w:name w:val="文档结构图 Char1"/>
    <w:semiHidden/>
    <w:qFormat/>
    <w:uiPriority w:val="99"/>
    <w:rPr>
      <w:rFonts w:ascii="宋体"/>
      <w:sz w:val="18"/>
      <w:szCs w:val="18"/>
    </w:rPr>
  </w:style>
  <w:style w:type="character" w:customStyle="1" w:styleId="132">
    <w:name w:val="正文首行缩进 2 Char"/>
    <w:link w:val="36"/>
    <w:qFormat/>
    <w:uiPriority w:val="0"/>
    <w:rPr>
      <w:rFonts w:ascii="仿宋_GB2312" w:hAnsi="Arial" w:eastAsia="仿宋_GB2312" w:cs="Times New Roman"/>
      <w:color w:val="000000"/>
      <w:szCs w:val="32"/>
    </w:rPr>
  </w:style>
  <w:style w:type="character" w:customStyle="1" w:styleId="133">
    <w:name w:val="页眉 Char1"/>
    <w:semiHidden/>
    <w:qFormat/>
    <w:uiPriority w:val="99"/>
    <w:rPr>
      <w:sz w:val="18"/>
      <w:szCs w:val="18"/>
    </w:rPr>
  </w:style>
  <w:style w:type="character" w:customStyle="1" w:styleId="134">
    <w:name w:val="页脚 Char1"/>
    <w:semiHidden/>
    <w:qFormat/>
    <w:uiPriority w:val="99"/>
    <w:rPr>
      <w:sz w:val="18"/>
      <w:szCs w:val="18"/>
    </w:rPr>
  </w:style>
  <w:style w:type="character" w:customStyle="1" w:styleId="135">
    <w:name w:val="Table Text Char"/>
    <w:link w:val="136"/>
    <w:uiPriority w:val="0"/>
    <w:rPr>
      <w:rFonts w:ascii="Arial" w:hAnsi="Arial" w:eastAsia="宋体" w:cs="Times New Roman"/>
      <w:sz w:val="18"/>
      <w:szCs w:val="24"/>
    </w:rPr>
  </w:style>
  <w:style w:type="paragraph" w:customStyle="1" w:styleId="136">
    <w:name w:val="Table Text"/>
    <w:basedOn w:val="1"/>
    <w:link w:val="135"/>
    <w:qFormat/>
    <w:uiPriority w:val="0"/>
    <w:pPr>
      <w:widowControl/>
      <w:tabs>
        <w:tab w:val="decimal" w:pos="0"/>
      </w:tabs>
      <w:autoSpaceDE w:val="0"/>
      <w:autoSpaceDN w:val="0"/>
      <w:adjustRightInd w:val="0"/>
      <w:spacing w:before="80" w:after="80"/>
    </w:pPr>
    <w:rPr>
      <w:rFonts w:ascii="Arial" w:hAnsi="Arial"/>
      <w:sz w:val="18"/>
    </w:rPr>
  </w:style>
  <w:style w:type="character" w:customStyle="1" w:styleId="137">
    <w:name w:val="签名 Char"/>
    <w:link w:val="38"/>
    <w:qFormat/>
    <w:uiPriority w:val="0"/>
    <w:rPr>
      <w:rFonts w:ascii="Tahoma" w:hAnsi="Tahoma" w:cs="Tahoma"/>
      <w:sz w:val="24"/>
      <w:lang w:val="de-DE" w:eastAsia="de-DE"/>
    </w:rPr>
  </w:style>
  <w:style w:type="character" w:customStyle="1" w:styleId="138">
    <w:name w:val="签名 Char1"/>
    <w:qFormat/>
    <w:uiPriority w:val="0"/>
    <w:rPr>
      <w:rFonts w:ascii="Times New Roman" w:hAnsi="Times New Roman" w:eastAsia="宋体" w:cs="Times New Roman"/>
      <w:szCs w:val="24"/>
    </w:rPr>
  </w:style>
  <w:style w:type="paragraph" w:customStyle="1" w:styleId="139">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character" w:customStyle="1" w:styleId="140">
    <w:name w:val="正文文本 Char2"/>
    <w:basedOn w:val="51"/>
    <w:link w:val="18"/>
    <w:semiHidden/>
    <w:qFormat/>
    <w:uiPriority w:val="99"/>
    <w:rPr>
      <w:rFonts w:ascii="Times New Roman" w:hAnsi="Times New Roman" w:eastAsia="宋体" w:cs="Times New Roman"/>
      <w:szCs w:val="24"/>
    </w:rPr>
  </w:style>
  <w:style w:type="character" w:customStyle="1" w:styleId="141">
    <w:name w:val="正文首行缩进 Char1"/>
    <w:basedOn w:val="140"/>
    <w:link w:val="17"/>
    <w:semiHidden/>
    <w:uiPriority w:val="99"/>
  </w:style>
  <w:style w:type="character" w:customStyle="1" w:styleId="142">
    <w:name w:val="文档结构图 Char2"/>
    <w:basedOn w:val="51"/>
    <w:link w:val="22"/>
    <w:semiHidden/>
    <w:qFormat/>
    <w:uiPriority w:val="99"/>
    <w:rPr>
      <w:rFonts w:ascii="宋体" w:hAnsi="Times New Roman" w:eastAsia="宋体" w:cs="Times New Roman"/>
      <w:sz w:val="18"/>
      <w:szCs w:val="18"/>
    </w:rPr>
  </w:style>
  <w:style w:type="character" w:customStyle="1" w:styleId="143">
    <w:name w:val="批注文字 Char1"/>
    <w:basedOn w:val="51"/>
    <w:link w:val="15"/>
    <w:semiHidden/>
    <w:qFormat/>
    <w:uiPriority w:val="99"/>
    <w:rPr>
      <w:rFonts w:ascii="Times New Roman" w:hAnsi="Times New Roman" w:eastAsia="宋体" w:cs="Times New Roman"/>
      <w:szCs w:val="24"/>
    </w:rPr>
  </w:style>
  <w:style w:type="character" w:customStyle="1" w:styleId="144">
    <w:name w:val="批注主题 Char1"/>
    <w:basedOn w:val="143"/>
    <w:link w:val="14"/>
    <w:semiHidden/>
    <w:qFormat/>
    <w:uiPriority w:val="99"/>
    <w:rPr>
      <w:b/>
      <w:bCs/>
    </w:rPr>
  </w:style>
  <w:style w:type="paragraph" w:customStyle="1" w:styleId="145">
    <w:name w:val="正文符号4"/>
    <w:basedOn w:val="1"/>
    <w:qFormat/>
    <w:uiPriority w:val="0"/>
    <w:pPr>
      <w:numPr>
        <w:ilvl w:val="1"/>
        <w:numId w:val="3"/>
      </w:numPr>
      <w:tabs>
        <w:tab w:val="left" w:pos="360"/>
        <w:tab w:val="clear" w:pos="1407"/>
      </w:tabs>
      <w:ind w:left="0" w:firstLine="0"/>
    </w:pPr>
    <w:rPr>
      <w:rFonts w:eastAsia="楷体_GB2312"/>
      <w:kern w:val="0"/>
      <w:sz w:val="28"/>
    </w:rPr>
  </w:style>
  <w:style w:type="paragraph" w:customStyle="1" w:styleId="146">
    <w:name w:val="默认段落字体 Para Char Char Char Char"/>
    <w:basedOn w:val="1"/>
    <w:qFormat/>
    <w:uiPriority w:val="0"/>
  </w:style>
  <w:style w:type="paragraph" w:customStyle="1" w:styleId="147">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4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正文文本 2 Char1"/>
    <w:basedOn w:val="51"/>
    <w:link w:val="48"/>
    <w:semiHidden/>
    <w:qFormat/>
    <w:uiPriority w:val="99"/>
    <w:rPr>
      <w:rFonts w:ascii="Times New Roman" w:hAnsi="Times New Roman" w:eastAsia="宋体" w:cs="Times New Roman"/>
      <w:szCs w:val="24"/>
    </w:rPr>
  </w:style>
  <w:style w:type="paragraph" w:customStyle="1" w:styleId="150">
    <w:name w:val="font6"/>
    <w:basedOn w:val="1"/>
    <w:qFormat/>
    <w:uiPriority w:val="0"/>
    <w:pPr>
      <w:widowControl/>
      <w:spacing w:before="100" w:beforeAutospacing="1" w:after="100" w:afterAutospacing="1"/>
      <w:jc w:val="left"/>
    </w:pPr>
    <w:rPr>
      <w:kern w:val="0"/>
      <w:sz w:val="16"/>
      <w:szCs w:val="16"/>
    </w:rPr>
  </w:style>
  <w:style w:type="paragraph" w:customStyle="1" w:styleId="151">
    <w:name w:val="Char Char1 Char Char Char Char1 Char Char Char"/>
    <w:basedOn w:val="1"/>
    <w:qFormat/>
    <w:uiPriority w:val="0"/>
    <w:rPr>
      <w:szCs w:val="20"/>
    </w:rPr>
  </w:style>
  <w:style w:type="paragraph" w:customStyle="1" w:styleId="152">
    <w:name w:val="表文1"/>
    <w:basedOn w:val="1"/>
    <w:qFormat/>
    <w:uiPriority w:val="0"/>
    <w:pPr>
      <w:widowControl/>
      <w:ind w:firstLine="773" w:firstLineChars="322"/>
    </w:pPr>
    <w:rPr>
      <w:rFonts w:ascii="宋体" w:hAnsi="宋体"/>
      <w:bCs/>
      <w:color w:val="000000"/>
      <w:kern w:val="0"/>
      <w:sz w:val="24"/>
      <w:szCs w:val="28"/>
    </w:rPr>
  </w:style>
  <w:style w:type="paragraph" w:customStyle="1" w:styleId="153">
    <w:name w:val="列表内容"/>
    <w:basedOn w:val="1"/>
    <w:next w:val="1"/>
    <w:qFormat/>
    <w:uiPriority w:val="0"/>
    <w:pPr>
      <w:widowControl/>
      <w:tabs>
        <w:tab w:val="left" w:pos="840"/>
      </w:tabs>
      <w:ind w:left="840" w:hanging="420"/>
      <w:jc w:val="left"/>
    </w:pPr>
    <w:rPr>
      <w:kern w:val="0"/>
      <w:sz w:val="18"/>
    </w:rPr>
  </w:style>
  <w:style w:type="paragraph" w:customStyle="1" w:styleId="15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155">
    <w:name w:val="批注框文本 Char1"/>
    <w:basedOn w:val="51"/>
    <w:link w:val="34"/>
    <w:semiHidden/>
    <w:uiPriority w:val="99"/>
    <w:rPr>
      <w:rFonts w:ascii="Times New Roman" w:hAnsi="Times New Roman" w:eastAsia="宋体" w:cs="Times New Roman"/>
      <w:sz w:val="18"/>
      <w:szCs w:val="18"/>
    </w:rPr>
  </w:style>
  <w:style w:type="paragraph" w:customStyle="1" w:styleId="156">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157">
    <w:name w:val="正文文本缩进 3 Char1"/>
    <w:basedOn w:val="51"/>
    <w:link w:val="44"/>
    <w:semiHidden/>
    <w:qFormat/>
    <w:uiPriority w:val="99"/>
    <w:rPr>
      <w:rFonts w:ascii="Times New Roman" w:hAnsi="Times New Roman" w:eastAsia="宋体" w:cs="Times New Roman"/>
      <w:sz w:val="16"/>
      <w:szCs w:val="16"/>
    </w:rPr>
  </w:style>
  <w:style w:type="paragraph" w:customStyle="1" w:styleId="158">
    <w:name w:val="Char Char5 Char Char"/>
    <w:basedOn w:val="1"/>
    <w:qFormat/>
    <w:uiPriority w:val="0"/>
    <w:rPr>
      <w:sz w:val="30"/>
    </w:rPr>
  </w:style>
  <w:style w:type="character" w:customStyle="1" w:styleId="159">
    <w:name w:val="页眉 Char2"/>
    <w:basedOn w:val="51"/>
    <w:link w:val="37"/>
    <w:semiHidden/>
    <w:qFormat/>
    <w:uiPriority w:val="99"/>
    <w:rPr>
      <w:rFonts w:ascii="Times New Roman" w:hAnsi="Times New Roman" w:eastAsia="宋体" w:cs="Times New Roman"/>
      <w:sz w:val="18"/>
      <w:szCs w:val="18"/>
    </w:rPr>
  </w:style>
  <w:style w:type="paragraph" w:customStyle="1" w:styleId="160">
    <w:name w:val="方案正文"/>
    <w:basedOn w:val="1"/>
    <w:qFormat/>
    <w:uiPriority w:val="0"/>
    <w:pPr>
      <w:spacing w:line="360" w:lineRule="auto"/>
    </w:pPr>
    <w:rPr>
      <w:sz w:val="24"/>
    </w:rPr>
  </w:style>
  <w:style w:type="paragraph" w:customStyle="1" w:styleId="161">
    <w:name w:val="Char"/>
    <w:basedOn w:val="1"/>
    <w:qFormat/>
    <w:uiPriority w:val="0"/>
    <w:pPr>
      <w:tabs>
        <w:tab w:val="left" w:pos="360"/>
      </w:tabs>
    </w:pPr>
    <w:rPr>
      <w:sz w:val="24"/>
    </w:rPr>
  </w:style>
  <w:style w:type="character" w:customStyle="1" w:styleId="162">
    <w:name w:val="日期 Char1"/>
    <w:basedOn w:val="51"/>
    <w:link w:val="32"/>
    <w:semiHidden/>
    <w:uiPriority w:val="99"/>
    <w:rPr>
      <w:rFonts w:ascii="Times New Roman" w:hAnsi="Times New Roman" w:eastAsia="宋体" w:cs="Times New Roman"/>
      <w:szCs w:val="24"/>
    </w:rPr>
  </w:style>
  <w:style w:type="paragraph" w:customStyle="1" w:styleId="16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64">
    <w:name w:val="默认段落字体 Para Char Char Char Char Char Char Char Char Char1 Char"/>
    <w:basedOn w:val="1"/>
    <w:qFormat/>
    <w:uiPriority w:val="0"/>
    <w:rPr>
      <w:rFonts w:ascii="Tahoma" w:hAnsi="Tahoma"/>
      <w:sz w:val="24"/>
      <w:szCs w:val="20"/>
    </w:rPr>
  </w:style>
  <w:style w:type="paragraph" w:customStyle="1" w:styleId="165">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正文文本缩进 2 Char1"/>
    <w:basedOn w:val="51"/>
    <w:link w:val="33"/>
    <w:semiHidden/>
    <w:qFormat/>
    <w:uiPriority w:val="99"/>
    <w:rPr>
      <w:rFonts w:ascii="Times New Roman" w:hAnsi="Times New Roman" w:eastAsia="宋体" w:cs="Times New Roman"/>
      <w:szCs w:val="24"/>
    </w:rPr>
  </w:style>
  <w:style w:type="paragraph" w:customStyle="1" w:styleId="167">
    <w:name w:val="样式 标题 4sect 1.2.3.4h4第三层条bulletblbbH4Ref Heading 1rh1H..."/>
    <w:basedOn w:val="7"/>
    <w:next w:val="1"/>
    <w:qFormat/>
    <w:uiPriority w:val="0"/>
    <w:pPr>
      <w:tabs>
        <w:tab w:val="left" w:pos="1080"/>
      </w:tabs>
      <w:ind w:left="851" w:hanging="851"/>
    </w:pPr>
    <w:rPr>
      <w:rFonts w:ascii="Arial" w:hAnsi="Arial" w:eastAsia="黑体"/>
      <w:kern w:val="4"/>
    </w:rPr>
  </w:style>
  <w:style w:type="character" w:customStyle="1" w:styleId="168">
    <w:name w:val="正文文本 3 Char1"/>
    <w:basedOn w:val="51"/>
    <w:link w:val="23"/>
    <w:semiHidden/>
    <w:qFormat/>
    <w:uiPriority w:val="99"/>
    <w:rPr>
      <w:rFonts w:ascii="Times New Roman" w:hAnsi="Times New Roman" w:eastAsia="宋体" w:cs="Times New Roman"/>
      <w:sz w:val="16"/>
      <w:szCs w:val="16"/>
    </w:rPr>
  </w:style>
  <w:style w:type="paragraph" w:customStyle="1" w:styleId="169">
    <w:name w:val="样式 标题 1标题1H1Head 1Head 11Head 12Head 111Head 13Head 112..."/>
    <w:basedOn w:val="2"/>
    <w:qFormat/>
    <w:uiPriority w:val="0"/>
    <w:pPr>
      <w:keepNext w:val="0"/>
      <w:pageBreakBefore w:val="0"/>
      <w:numPr>
        <w:numId w:val="0"/>
      </w:numPr>
      <w:adjustRightInd/>
      <w:spacing w:before="0" w:afterLines="100" w:line="400" w:lineRule="exact"/>
      <w:ind w:firstLine="562"/>
      <w:jc w:val="both"/>
    </w:pPr>
    <w:rPr>
      <w:rFonts w:ascii="宋体" w:hAnsi="宋体" w:cs="宋体"/>
      <w:b w:val="0"/>
      <w:bCs/>
      <w:spacing w:val="10"/>
      <w:kern w:val="2"/>
      <w:sz w:val="36"/>
    </w:rPr>
  </w:style>
  <w:style w:type="character" w:customStyle="1" w:styleId="170">
    <w:name w:val="签名 Char2"/>
    <w:basedOn w:val="51"/>
    <w:link w:val="38"/>
    <w:semiHidden/>
    <w:qFormat/>
    <w:uiPriority w:val="99"/>
    <w:rPr>
      <w:rFonts w:ascii="Times New Roman" w:hAnsi="Times New Roman" w:eastAsia="宋体" w:cs="Times New Roman"/>
      <w:szCs w:val="24"/>
    </w:rPr>
  </w:style>
  <w:style w:type="paragraph" w:customStyle="1" w:styleId="171">
    <w:name w:val="4 Char"/>
    <w:basedOn w:val="1"/>
    <w:qFormat/>
    <w:uiPriority w:val="0"/>
    <w:rPr>
      <w:sz w:val="30"/>
    </w:rPr>
  </w:style>
  <w:style w:type="character" w:customStyle="1" w:styleId="172">
    <w:name w:val="页脚 Char2"/>
    <w:basedOn w:val="51"/>
    <w:link w:val="35"/>
    <w:semiHidden/>
    <w:qFormat/>
    <w:uiPriority w:val="99"/>
    <w:rPr>
      <w:rFonts w:ascii="Times New Roman" w:hAnsi="Times New Roman" w:eastAsia="宋体" w:cs="Times New Roman"/>
      <w:sz w:val="18"/>
      <w:szCs w:val="18"/>
    </w:rPr>
  </w:style>
  <w:style w:type="paragraph" w:customStyle="1" w:styleId="173">
    <w:name w:val="列出段落11"/>
    <w:basedOn w:val="1"/>
    <w:uiPriority w:val="0"/>
    <w:pPr>
      <w:ind w:firstLine="420"/>
    </w:pPr>
    <w:rPr>
      <w:szCs w:val="20"/>
    </w:rPr>
  </w:style>
  <w:style w:type="paragraph" w:customStyle="1" w:styleId="17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175">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character" w:customStyle="1" w:styleId="176">
    <w:name w:val="正文文本缩进 Char2"/>
    <w:basedOn w:val="51"/>
    <w:link w:val="24"/>
    <w:semiHidden/>
    <w:qFormat/>
    <w:uiPriority w:val="99"/>
    <w:rPr>
      <w:rFonts w:ascii="Times New Roman" w:hAnsi="Times New Roman" w:eastAsia="宋体" w:cs="Times New Roman"/>
      <w:szCs w:val="24"/>
    </w:rPr>
  </w:style>
  <w:style w:type="paragraph" w:customStyle="1" w:styleId="177">
    <w:name w:val="表格文字1"/>
    <w:basedOn w:val="1"/>
    <w:qFormat/>
    <w:uiPriority w:val="0"/>
    <w:pPr>
      <w:spacing w:line="360" w:lineRule="auto"/>
      <w:jc w:val="center"/>
    </w:pPr>
    <w:rPr>
      <w:rFonts w:ascii="宋体"/>
      <w:b/>
      <w:bCs/>
      <w:sz w:val="24"/>
    </w:rPr>
  </w:style>
  <w:style w:type="paragraph" w:customStyle="1" w:styleId="178">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79">
    <w:name w:val="p0"/>
    <w:basedOn w:val="1"/>
    <w:qFormat/>
    <w:uiPriority w:val="0"/>
    <w:pPr>
      <w:widowControl/>
    </w:pPr>
    <w:rPr>
      <w:kern w:val="0"/>
      <w:szCs w:val="21"/>
    </w:rPr>
  </w:style>
  <w:style w:type="paragraph" w:customStyle="1" w:styleId="180">
    <w:name w:val="样式 样式2 + 宋体1"/>
    <w:basedOn w:val="1"/>
    <w:qFormat/>
    <w:uiPriority w:val="0"/>
    <w:pPr>
      <w:ind w:right="210" w:rightChars="100"/>
      <w:jc w:val="center"/>
    </w:pPr>
    <w:rPr>
      <w:rFonts w:ascii="宋体" w:hAnsi="宋体"/>
      <w:b/>
      <w:sz w:val="20"/>
      <w:szCs w:val="21"/>
    </w:rPr>
  </w:style>
  <w:style w:type="paragraph" w:customStyle="1" w:styleId="181">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2">
    <w:name w:val="南通方案正文"/>
    <w:basedOn w:val="1"/>
    <w:qFormat/>
    <w:uiPriority w:val="0"/>
    <w:pPr>
      <w:spacing w:line="360" w:lineRule="auto"/>
      <w:ind w:firstLine="480" w:firstLineChars="200"/>
    </w:pPr>
    <w:rPr>
      <w:rFonts w:cs="宋体"/>
      <w:sz w:val="24"/>
      <w:szCs w:val="20"/>
    </w:rPr>
  </w:style>
  <w:style w:type="character" w:customStyle="1" w:styleId="183">
    <w:name w:val="正文首行缩进 2 Char1"/>
    <w:basedOn w:val="176"/>
    <w:link w:val="36"/>
    <w:semiHidden/>
    <w:qFormat/>
    <w:uiPriority w:val="99"/>
  </w:style>
  <w:style w:type="paragraph" w:customStyle="1" w:styleId="184">
    <w:name w:val="Char2"/>
    <w:basedOn w:val="22"/>
    <w:qFormat/>
    <w:uiPriority w:val="0"/>
    <w:pPr>
      <w:shd w:val="clear" w:color="auto" w:fill="000080"/>
    </w:pPr>
    <w:rPr>
      <w:rFonts w:ascii="Tahoma" w:hAnsi="Tahoma" w:cs="Tahoma"/>
      <w:szCs w:val="24"/>
      <w:shd w:val="clear" w:color="auto" w:fill="000080"/>
    </w:rPr>
  </w:style>
  <w:style w:type="character" w:customStyle="1" w:styleId="185">
    <w:name w:val="纯文本 Char"/>
    <w:basedOn w:val="51"/>
    <w:link w:val="30"/>
    <w:semiHidden/>
    <w:qFormat/>
    <w:uiPriority w:val="99"/>
    <w:rPr>
      <w:rFonts w:ascii="宋体" w:hAnsi="Courier New" w:eastAsia="宋体" w:cs="Courier New"/>
      <w:szCs w:val="21"/>
    </w:rPr>
  </w:style>
  <w:style w:type="paragraph" w:customStyle="1" w:styleId="186">
    <w:name w:val="正文 居中"/>
    <w:basedOn w:val="1"/>
    <w:qFormat/>
    <w:uiPriority w:val="0"/>
    <w:pPr>
      <w:spacing w:line="360" w:lineRule="auto"/>
      <w:jc w:val="center"/>
    </w:pPr>
    <w:rPr>
      <w:sz w:val="24"/>
      <w:szCs w:val="20"/>
    </w:rPr>
  </w:style>
  <w:style w:type="paragraph" w:customStyle="1" w:styleId="187">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188">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190">
    <w:name w:val="样式 正文小四缩进两字符"/>
    <w:basedOn w:val="1"/>
    <w:qFormat/>
    <w:uiPriority w:val="0"/>
    <w:pPr>
      <w:spacing w:line="360" w:lineRule="auto"/>
      <w:ind w:firstLine="480" w:firstLineChars="200"/>
    </w:pPr>
    <w:rPr>
      <w:rFonts w:ascii="Arial" w:hAnsi="Arial"/>
      <w:sz w:val="24"/>
    </w:rPr>
  </w:style>
  <w:style w:type="paragraph" w:customStyle="1" w:styleId="191">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92">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9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194">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19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98">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9">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00">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01">
    <w:name w:val="列出段落1"/>
    <w:basedOn w:val="1"/>
    <w:qFormat/>
    <w:uiPriority w:val="0"/>
    <w:pPr>
      <w:ind w:firstLine="420" w:firstLineChars="200"/>
    </w:pPr>
    <w:rPr>
      <w:rFonts w:ascii="Calibri" w:hAnsi="Calibri" w:cs="Calibri"/>
      <w:szCs w:val="21"/>
    </w:rPr>
  </w:style>
  <w:style w:type="paragraph" w:customStyle="1" w:styleId="202">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3">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0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5">
    <w:name w:val="Char Char Char1"/>
    <w:basedOn w:val="1"/>
    <w:qFormat/>
    <w:uiPriority w:val="0"/>
    <w:rPr>
      <w:rFonts w:ascii="Tahoma" w:hAnsi="Tahoma"/>
      <w:sz w:val="32"/>
      <w:szCs w:val="20"/>
    </w:rPr>
  </w:style>
  <w:style w:type="paragraph" w:styleId="206">
    <w:name w:val="List Paragraph"/>
    <w:basedOn w:val="1"/>
    <w:link w:val="331"/>
    <w:qFormat/>
    <w:uiPriority w:val="34"/>
    <w:pPr>
      <w:ind w:firstLine="420" w:firstLineChars="200"/>
    </w:pPr>
    <w:rPr>
      <w:rFonts w:ascii="Calibri" w:hAnsi="Calibri"/>
      <w:szCs w:val="22"/>
    </w:rPr>
  </w:style>
  <w:style w:type="paragraph" w:customStyle="1" w:styleId="207">
    <w:name w:val="xl8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208">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0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0">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11">
    <w:name w:val="Char11"/>
    <w:basedOn w:val="1"/>
    <w:qFormat/>
    <w:uiPriority w:val="0"/>
    <w:pPr>
      <w:tabs>
        <w:tab w:val="left" w:pos="425"/>
      </w:tabs>
      <w:ind w:left="425" w:hanging="425"/>
    </w:pPr>
    <w:rPr>
      <w:sz w:val="24"/>
    </w:rPr>
  </w:style>
  <w:style w:type="paragraph" w:customStyle="1" w:styleId="212">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13">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4">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15">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16">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17">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1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0">
    <w:name w:val="TOC 标题1"/>
    <w:basedOn w:val="2"/>
    <w:next w:val="1"/>
    <w:qFormat/>
    <w:uiPriority w:val="39"/>
    <w:pPr>
      <w:keepLines/>
      <w:pageBreakBefore w:val="0"/>
      <w:widowControl/>
      <w:numPr>
        <w:numId w:val="0"/>
      </w:numPr>
      <w:adjustRightInd/>
      <w:spacing w:before="480" w:line="276" w:lineRule="auto"/>
      <w:jc w:val="left"/>
      <w:outlineLvl w:val="9"/>
    </w:pPr>
    <w:rPr>
      <w:rFonts w:ascii="Cambria" w:hAnsi="Cambria" w:eastAsia="宋体"/>
      <w:bCs/>
      <w:color w:val="365F91"/>
      <w:sz w:val="28"/>
      <w:szCs w:val="28"/>
    </w:rPr>
  </w:style>
  <w:style w:type="paragraph" w:customStyle="1" w:styleId="221">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2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23">
    <w:name w:val="正文 1"/>
    <w:basedOn w:val="1"/>
    <w:qFormat/>
    <w:uiPriority w:val="0"/>
    <w:pPr>
      <w:widowControl/>
      <w:adjustRightInd w:val="0"/>
      <w:snapToGrid w:val="0"/>
      <w:spacing w:before="80" w:after="80" w:line="360" w:lineRule="auto"/>
      <w:ind w:left="1418"/>
    </w:pPr>
    <w:rPr>
      <w:szCs w:val="20"/>
    </w:rPr>
  </w:style>
  <w:style w:type="paragraph" w:customStyle="1" w:styleId="224">
    <w:name w:val="样式 标题 1H1h11st levelSection Headl11H11H12H13H14H15H1..."/>
    <w:basedOn w:val="2"/>
    <w:qFormat/>
    <w:uiPriority w:val="0"/>
    <w:pPr>
      <w:keepLines/>
      <w:pageBreakBefore w:val="0"/>
      <w:numPr>
        <w:numId w:val="4"/>
      </w:numPr>
      <w:adjustRightInd/>
      <w:spacing w:beforeLines="100" w:afterLines="100" w:line="360" w:lineRule="auto"/>
      <w:jc w:val="left"/>
    </w:pPr>
    <w:rPr>
      <w:rFonts w:ascii="Calibri" w:hAnsi="Calibri" w:eastAsia="宋体" w:cs="宋体"/>
      <w:bCs/>
      <w:kern w:val="44"/>
      <w:sz w:val="28"/>
      <w:szCs w:val="28"/>
    </w:rPr>
  </w:style>
  <w:style w:type="paragraph" w:customStyle="1" w:styleId="225">
    <w:name w:val="Char Char Char Char Char Char Char Char Char Char Char Char Char Char Char Char"/>
    <w:basedOn w:val="1"/>
    <w:uiPriority w:val="0"/>
    <w:pPr>
      <w:tabs>
        <w:tab w:val="left" w:pos="360"/>
      </w:tabs>
    </w:pPr>
    <w:rPr>
      <w:sz w:val="24"/>
    </w:rPr>
  </w:style>
  <w:style w:type="paragraph" w:customStyle="1" w:styleId="226">
    <w:name w:val="xl7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227">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28">
    <w:name w:val="正文缩进1"/>
    <w:basedOn w:val="1"/>
    <w:uiPriority w:val="0"/>
    <w:pPr>
      <w:ind w:firstLine="200" w:firstLineChars="200"/>
    </w:pPr>
    <w:rPr>
      <w:sz w:val="24"/>
    </w:rPr>
  </w:style>
  <w:style w:type="paragraph" w:customStyle="1" w:styleId="229">
    <w:name w:val="xl80"/>
    <w:basedOn w:val="1"/>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0">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31">
    <w:name w:val="text"/>
    <w:basedOn w:val="1"/>
    <w:uiPriority w:val="0"/>
    <w:pPr>
      <w:widowControl/>
      <w:ind w:firstLine="630"/>
    </w:pPr>
    <w:rPr>
      <w:rFonts w:hint="eastAsia" w:ascii="仿宋体" w:eastAsia="仿宋体"/>
      <w:kern w:val="0"/>
      <w:sz w:val="24"/>
      <w:szCs w:val="20"/>
    </w:rPr>
  </w:style>
  <w:style w:type="paragraph" w:customStyle="1" w:styleId="232">
    <w:name w:val="A1.宋体小四→首行缩进"/>
    <w:basedOn w:val="1"/>
    <w:uiPriority w:val="0"/>
    <w:pPr>
      <w:spacing w:before="60" w:after="60" w:line="360" w:lineRule="auto"/>
      <w:ind w:firstLine="480" w:firstLineChars="200"/>
    </w:pPr>
    <w:rPr>
      <w:rFonts w:cs="宋体"/>
      <w:kern w:val="24"/>
      <w:sz w:val="24"/>
      <w:szCs w:val="20"/>
    </w:rPr>
  </w:style>
  <w:style w:type="paragraph" w:customStyle="1" w:styleId="233">
    <w:name w:val="pa-2"/>
    <w:basedOn w:val="1"/>
    <w:uiPriority w:val="0"/>
    <w:pPr>
      <w:widowControl/>
      <w:spacing w:before="150" w:after="150"/>
      <w:jc w:val="left"/>
    </w:pPr>
    <w:rPr>
      <w:rFonts w:ascii="宋体" w:hAnsi="宋体" w:cs="宋体"/>
      <w:kern w:val="0"/>
      <w:sz w:val="24"/>
    </w:rPr>
  </w:style>
  <w:style w:type="paragraph" w:customStyle="1" w:styleId="234">
    <w:name w:val="xl83"/>
    <w:basedOn w:val="1"/>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5">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36">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7">
    <w:name w:val="font8"/>
    <w:basedOn w:val="1"/>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238">
    <w:name w:val="修订1"/>
    <w:semiHidden/>
    <w:uiPriority w:val="99"/>
    <w:rPr>
      <w:rFonts w:ascii="Times New Roman" w:hAnsi="Times New Roman" w:eastAsia="宋体" w:cs="Times New Roman"/>
      <w:kern w:val="2"/>
      <w:sz w:val="21"/>
      <w:szCs w:val="24"/>
      <w:lang w:val="en-US" w:eastAsia="zh-CN" w:bidi="ar-SA"/>
    </w:rPr>
  </w:style>
  <w:style w:type="paragraph" w:customStyle="1" w:styleId="239">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40">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41">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42">
    <w:name w:val="xl45"/>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43">
    <w:name w:val="正文缩进 Char Char"/>
    <w:basedOn w:val="1"/>
    <w:uiPriority w:val="0"/>
    <w:pPr>
      <w:spacing w:before="50"/>
      <w:ind w:left="200" w:firstLine="420" w:firstLineChars="200"/>
    </w:pPr>
    <w:rPr>
      <w:sz w:val="24"/>
      <w:szCs w:val="20"/>
    </w:rPr>
  </w:style>
  <w:style w:type="paragraph" w:customStyle="1" w:styleId="244">
    <w:name w:val="xl70"/>
    <w:basedOn w:val="1"/>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5">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46">
    <w:name w:val="正文2"/>
    <w:basedOn w:val="1"/>
    <w:qFormat/>
    <w:uiPriority w:val="0"/>
    <w:pPr>
      <w:widowControl/>
      <w:spacing w:line="360" w:lineRule="auto"/>
    </w:pPr>
    <w:rPr>
      <w:rFonts w:hint="eastAsia" w:ascii="宋体"/>
      <w:kern w:val="16"/>
      <w:sz w:val="24"/>
      <w:szCs w:val="20"/>
    </w:rPr>
  </w:style>
  <w:style w:type="paragraph" w:customStyle="1" w:styleId="247">
    <w:name w:val="xl73"/>
    <w:basedOn w:val="1"/>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8">
    <w:name w:val="xl124"/>
    <w:basedOn w:val="1"/>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49">
    <w:name w:val="List Paragraph1"/>
    <w:basedOn w:val="1"/>
    <w:qFormat/>
    <w:uiPriority w:val="34"/>
    <w:pPr>
      <w:spacing w:line="360" w:lineRule="auto"/>
      <w:ind w:firstLine="420" w:firstLineChars="200"/>
      <w:jc w:val="left"/>
    </w:pPr>
    <w:rPr>
      <w:rFonts w:ascii="Calibri" w:hAnsi="Calibri"/>
      <w:szCs w:val="22"/>
    </w:rPr>
  </w:style>
  <w:style w:type="paragraph" w:customStyle="1" w:styleId="250">
    <w:name w:val="xl91"/>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1">
    <w:name w:val="xl142"/>
    <w:basedOn w:val="1"/>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52">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53">
    <w:name w:val="项目编号（3）"/>
    <w:basedOn w:val="1"/>
    <w:uiPriority w:val="0"/>
    <w:pPr>
      <w:tabs>
        <w:tab w:val="left" w:pos="1795"/>
      </w:tabs>
      <w:spacing w:beforeLines="50" w:afterLines="50" w:line="300" w:lineRule="auto"/>
      <w:ind w:left="1795" w:hanging="535"/>
    </w:pPr>
    <w:rPr>
      <w:rFonts w:cs="宋体"/>
      <w:kern w:val="21"/>
      <w:sz w:val="24"/>
      <w:szCs w:val="20"/>
    </w:rPr>
  </w:style>
  <w:style w:type="paragraph" w:customStyle="1" w:styleId="254">
    <w:name w:val="表格正文"/>
    <w:basedOn w:val="1"/>
    <w:uiPriority w:val="0"/>
    <w:pPr>
      <w:spacing w:line="360" w:lineRule="atLeast"/>
      <w:textAlignment w:val="baseline"/>
    </w:pPr>
  </w:style>
  <w:style w:type="paragraph" w:customStyle="1" w:styleId="255">
    <w:name w:val="Char Char"/>
    <w:basedOn w:val="22"/>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56">
    <w:name w:val="表内容"/>
    <w:basedOn w:val="1"/>
    <w:uiPriority w:val="0"/>
    <w:pPr>
      <w:widowControl/>
    </w:pPr>
    <w:rPr>
      <w:snapToGrid w:val="0"/>
      <w:kern w:val="0"/>
      <w:sz w:val="20"/>
    </w:rPr>
  </w:style>
  <w:style w:type="paragraph" w:customStyle="1" w:styleId="257">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8">
    <w:name w:val="xl1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259">
    <w:name w:val="xl111"/>
    <w:basedOn w:val="1"/>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260">
    <w:name w:val="xl3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61">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2">
    <w:name w:val="Char1"/>
    <w:basedOn w:val="1"/>
    <w:uiPriority w:val="0"/>
    <w:pPr>
      <w:spacing w:line="330" w:lineRule="atLeast"/>
      <w:ind w:left="360" w:firstLine="360" w:firstLineChars="150"/>
      <w:jc w:val="left"/>
    </w:pPr>
    <w:rPr>
      <w:rFonts w:ascii="ˎ̥" w:hAnsi="ˎ̥" w:cs="宋体"/>
      <w:color w:val="51585D"/>
      <w:kern w:val="0"/>
      <w:sz w:val="24"/>
      <w:szCs w:val="18"/>
    </w:rPr>
  </w:style>
  <w:style w:type="paragraph" w:customStyle="1" w:styleId="263">
    <w:name w:val="内文正文"/>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64">
    <w:name w:val="xl81"/>
    <w:basedOn w:val="1"/>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5">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6">
    <w:name w:val="xl7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7">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68">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69">
    <w:name w:val="xl65"/>
    <w:basedOn w:val="1"/>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70">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1">
    <w:name w:val="xl6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72">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3">
    <w:name w:val="xl42"/>
    <w:basedOn w:val="1"/>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74">
    <w:name w:val="xl40"/>
    <w:basedOn w:val="1"/>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5">
    <w:name w:val="xl4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276">
    <w:name w:val="xl30"/>
    <w:basedOn w:val="1"/>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7">
    <w:name w:val="xl87"/>
    <w:basedOn w:val="1"/>
    <w:uiPriority w:val="0"/>
    <w:pPr>
      <w:widowControl/>
      <w:spacing w:before="100" w:beforeAutospacing="1" w:after="100" w:afterAutospacing="1"/>
      <w:jc w:val="left"/>
      <w:textAlignment w:val="center"/>
    </w:pPr>
    <w:rPr>
      <w:b/>
      <w:bCs/>
      <w:color w:val="000000"/>
      <w:kern w:val="0"/>
      <w:sz w:val="24"/>
    </w:rPr>
  </w:style>
  <w:style w:type="paragraph" w:customStyle="1" w:styleId="278">
    <w:name w:val="xl13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79">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80">
    <w:name w:val="xl2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81">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282">
    <w:name w:val="样式 样式 标题 4 + (中文) 仿宋_GB2312 段前: 24 磅 段后: 0 磅 行距: 固定值 22 磅 + 段后: ..."/>
    <w:basedOn w:val="1"/>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83">
    <w:name w:val="xl71"/>
    <w:basedOn w:val="1"/>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4">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5">
    <w:name w:val="Char Char 字元 字元 字元 Char Char Char Char"/>
    <w:basedOn w:val="1"/>
    <w:uiPriority w:val="0"/>
    <w:pPr>
      <w:adjustRightInd w:val="0"/>
      <w:spacing w:line="360" w:lineRule="auto"/>
    </w:pPr>
    <w:rPr>
      <w:kern w:val="0"/>
      <w:sz w:val="24"/>
    </w:rPr>
  </w:style>
  <w:style w:type="paragraph" w:customStyle="1" w:styleId="286">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287">
    <w:name w:val="7"/>
    <w:basedOn w:val="1"/>
    <w:next w:val="5"/>
    <w:uiPriority w:val="0"/>
    <w:pPr>
      <w:ind w:firstLine="420"/>
    </w:pPr>
    <w:rPr>
      <w:szCs w:val="20"/>
    </w:rPr>
  </w:style>
  <w:style w:type="paragraph" w:customStyle="1" w:styleId="288">
    <w:name w:val="xl7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9">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90">
    <w:name w:val="dbchf15cgrid sbasedon0 s"/>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291">
    <w:name w:val="A2.宋体小四→编号一级"/>
    <w:basedOn w:val="1"/>
    <w:uiPriority w:val="0"/>
    <w:pPr>
      <w:spacing w:before="60" w:after="60" w:line="360" w:lineRule="auto"/>
    </w:pPr>
    <w:rPr>
      <w:kern w:val="24"/>
      <w:sz w:val="24"/>
    </w:rPr>
  </w:style>
  <w:style w:type="paragraph" w:customStyle="1" w:styleId="292">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3">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4">
    <w:name w:val="表项"/>
    <w:next w:val="1"/>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95">
    <w:name w:val="xl36"/>
    <w:basedOn w:val="1"/>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96">
    <w:name w:val="xl7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97">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9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99">
    <w:name w:val="样式"/>
    <w:basedOn w:val="1"/>
    <w:next w:val="1"/>
    <w:uiPriority w:val="0"/>
    <w:pPr>
      <w:tabs>
        <w:tab w:val="left" w:pos="1258"/>
      </w:tabs>
      <w:spacing w:line="360" w:lineRule="auto"/>
      <w:ind w:left="1258" w:hanging="1258"/>
      <w:outlineLvl w:val="2"/>
    </w:pPr>
    <w:rPr>
      <w:rFonts w:ascii="Arial" w:hAnsi="Arial" w:cs="Arial"/>
      <w:sz w:val="28"/>
      <w:szCs w:val="28"/>
    </w:rPr>
  </w:style>
  <w:style w:type="paragraph" w:customStyle="1" w:styleId="300">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1">
    <w:name w:val="xl64"/>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02">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3">
    <w:name w:val="xl4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4">
    <w:name w:val="xl37"/>
    <w:basedOn w:val="1"/>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06">
    <w:name w:val="xl63"/>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07">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308">
    <w:name w:val="xl43"/>
    <w:basedOn w:val="1"/>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9">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0">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11">
    <w:name w:val="font9"/>
    <w:basedOn w:val="1"/>
    <w:uiPriority w:val="0"/>
    <w:pPr>
      <w:widowControl/>
      <w:spacing w:before="100" w:beforeAutospacing="1" w:after="100" w:afterAutospacing="1"/>
      <w:jc w:val="left"/>
    </w:pPr>
    <w:rPr>
      <w:rFonts w:ascii="Arial" w:hAnsi="Arial" w:cs="Arial"/>
      <w:kern w:val="0"/>
      <w:sz w:val="16"/>
      <w:szCs w:val="16"/>
    </w:rPr>
  </w:style>
  <w:style w:type="paragraph" w:customStyle="1" w:styleId="312">
    <w:name w:val="xl69"/>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13">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14">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15">
    <w:name w:val="xl72"/>
    <w:basedOn w:val="1"/>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6">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317">
    <w:name w:val="表身（左）"/>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318">
    <w:name w:val="Char Char Char Char Char Char"/>
    <w:basedOn w:val="1"/>
    <w:uiPriority w:val="0"/>
    <w:rPr>
      <w:rFonts w:ascii="Tahoma" w:hAnsi="Tahoma"/>
      <w:sz w:val="24"/>
      <w:szCs w:val="20"/>
    </w:rPr>
  </w:style>
  <w:style w:type="paragraph" w:customStyle="1" w:styleId="319">
    <w:name w:val="xl7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20">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21">
    <w:name w:val="xl82"/>
    <w:basedOn w:val="1"/>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22">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323">
    <w:name w:val="列出段落3"/>
    <w:basedOn w:val="1"/>
    <w:qFormat/>
    <w:uiPriority w:val="0"/>
    <w:pPr>
      <w:widowControl/>
      <w:ind w:left="708"/>
      <w:jc w:val="left"/>
    </w:pPr>
    <w:rPr>
      <w:rFonts w:ascii="RotisSansSerif" w:hAnsi="RotisSansSerif" w:cs="Arial"/>
      <w:kern w:val="0"/>
      <w:sz w:val="24"/>
      <w:lang w:val="de-DE"/>
    </w:rPr>
  </w:style>
  <w:style w:type="paragraph" w:customStyle="1" w:styleId="324">
    <w:name w:val="table_1stline"/>
    <w:basedOn w:val="1"/>
    <w:uiPriority w:val="0"/>
    <w:pPr>
      <w:widowControl/>
      <w:spacing w:before="120"/>
      <w:jc w:val="left"/>
    </w:pPr>
    <w:rPr>
      <w:bCs/>
      <w:kern w:val="0"/>
      <w:sz w:val="20"/>
      <w:szCs w:val="20"/>
      <w:lang w:val="de-DE" w:eastAsia="de-DE"/>
    </w:rPr>
  </w:style>
  <w:style w:type="paragraph" w:customStyle="1" w:styleId="325">
    <w:name w:val="msolistparagraph"/>
    <w:basedOn w:val="1"/>
    <w:uiPriority w:val="0"/>
    <w:pPr>
      <w:ind w:firstLine="420" w:firstLineChars="200"/>
    </w:pPr>
    <w:rPr>
      <w:rFonts w:ascii="Calibri" w:hAnsi="Calibri"/>
      <w:szCs w:val="22"/>
    </w:rPr>
  </w:style>
  <w:style w:type="paragraph" w:customStyle="1" w:styleId="326">
    <w:name w:val="列出段落2"/>
    <w:basedOn w:val="1"/>
    <w:qFormat/>
    <w:uiPriority w:val="0"/>
    <w:pPr>
      <w:ind w:firstLine="420" w:firstLineChars="200"/>
    </w:pPr>
    <w:rPr>
      <w:rFonts w:ascii="Calibri" w:hAnsi="Calibri"/>
      <w:szCs w:val="22"/>
    </w:rPr>
  </w:style>
  <w:style w:type="character" w:customStyle="1" w:styleId="327">
    <w:name w:val="font41"/>
    <w:uiPriority w:val="0"/>
    <w:rPr>
      <w:rFonts w:hint="eastAsia" w:ascii="宋体" w:hAnsi="宋体" w:eastAsia="宋体" w:cs="宋体"/>
      <w:color w:val="000000"/>
      <w:sz w:val="24"/>
      <w:szCs w:val="24"/>
      <w:u w:val="none"/>
    </w:rPr>
  </w:style>
  <w:style w:type="character" w:customStyle="1" w:styleId="328">
    <w:name w:val="hg"/>
    <w:uiPriority w:val="0"/>
  </w:style>
  <w:style w:type="character" w:customStyle="1" w:styleId="329">
    <w:name w:val="font31"/>
    <w:uiPriority w:val="0"/>
    <w:rPr>
      <w:rFonts w:hint="default" w:ascii="Times New Roman" w:hAnsi="Times New Roman" w:cs="Times New Roman"/>
      <w:color w:val="000000"/>
      <w:sz w:val="24"/>
      <w:szCs w:val="24"/>
      <w:u w:val="none"/>
    </w:rPr>
  </w:style>
  <w:style w:type="character" w:customStyle="1" w:styleId="330">
    <w:name w:val="font21"/>
    <w:qFormat/>
    <w:uiPriority w:val="0"/>
    <w:rPr>
      <w:rFonts w:hint="eastAsia" w:ascii="宋体" w:hAnsi="宋体" w:eastAsia="宋体" w:cs="宋体"/>
      <w:color w:val="000000"/>
      <w:sz w:val="24"/>
      <w:szCs w:val="24"/>
      <w:u w:val="none"/>
    </w:rPr>
  </w:style>
  <w:style w:type="character" w:customStyle="1" w:styleId="331">
    <w:name w:val="列出段落 Char"/>
    <w:link w:val="206"/>
    <w:locked/>
    <w:uiPriority w:val="34"/>
    <w:rPr>
      <w:rFonts w:ascii="Calibri" w:hAnsi="Calibri" w:eastAsia="宋体" w:cs="Times New Roman"/>
    </w:rPr>
  </w:style>
  <w:style w:type="character" w:customStyle="1" w:styleId="332">
    <w:name w:val="font11"/>
    <w:uiPriority w:val="0"/>
    <w:rPr>
      <w:rFonts w:hint="default" w:ascii="Times New Roman" w:hAnsi="Times New Roman" w:cs="Times New Roman"/>
      <w:color w:val="000000"/>
      <w:sz w:val="24"/>
      <w:szCs w:val="24"/>
      <w:u w:val="none"/>
    </w:rPr>
  </w:style>
  <w:style w:type="character" w:customStyle="1" w:styleId="333">
    <w:name w:val="main"/>
    <w:uiPriority w:val="0"/>
  </w:style>
  <w:style w:type="character" w:customStyle="1" w:styleId="334">
    <w:name w:val="font01"/>
    <w:uiPriority w:val="0"/>
    <w:rPr>
      <w:rFonts w:hint="eastAsia" w:ascii="宋体" w:hAnsi="宋体" w:eastAsia="宋体" w:cs="宋体"/>
      <w:color w:val="000000"/>
      <w:sz w:val="24"/>
      <w:szCs w:val="24"/>
      <w:u w:val="none"/>
    </w:rPr>
  </w:style>
  <w:style w:type="paragraph" w:customStyle="1" w:styleId="335">
    <w:name w:val="Char Char Char Char"/>
    <w:basedOn w:val="1"/>
    <w:uiPriority w:val="0"/>
    <w:pPr>
      <w:tabs>
        <w:tab w:val="left" w:pos="360"/>
      </w:tabs>
    </w:pPr>
    <w:rPr>
      <w:sz w:val="24"/>
    </w:rPr>
  </w:style>
  <w:style w:type="character" w:customStyle="1" w:styleId="336">
    <w:name w:val="Char Char1"/>
    <w:uiPriority w:val="0"/>
    <w:rPr>
      <w:rFonts w:eastAsia="宋体"/>
      <w:kern w:val="2"/>
      <w:sz w:val="18"/>
      <w:szCs w:val="18"/>
      <w:lang w:val="en-US" w:eastAsia="zh-CN" w:bidi="ar-SA"/>
    </w:rPr>
  </w:style>
  <w:style w:type="character" w:customStyle="1" w:styleId="337">
    <w:name w:val="Char Char11"/>
    <w:uiPriority w:val="0"/>
    <w:rPr>
      <w:rFonts w:eastAsia="宋体"/>
      <w:kern w:val="2"/>
      <w:sz w:val="18"/>
      <w:szCs w:val="18"/>
      <w:lang w:val="en-US" w:eastAsia="zh-CN" w:bidi="ar-SA"/>
    </w:rPr>
  </w:style>
  <w:style w:type="character" w:customStyle="1" w:styleId="338">
    <w:name w:val="正文缩进 Char"/>
    <w:uiPriority w:val="0"/>
    <w:rPr>
      <w:rFonts w:eastAsia="宋体"/>
      <w:kern w:val="2"/>
      <w:sz w:val="21"/>
      <w:lang w:val="en-US" w:eastAsia="zh-CN" w:bidi="ar-SA"/>
    </w:rPr>
  </w:style>
  <w:style w:type="character" w:customStyle="1" w:styleId="339">
    <w:name w:val="CharAttribute7"/>
    <w:uiPriority w:val="0"/>
    <w:rPr>
      <w:rFonts w:ascii="楷体_GB2312" w:eastAsia="楷体_GB2312"/>
      <w:sz w:val="24"/>
    </w:rPr>
  </w:style>
  <w:style w:type="character" w:customStyle="1" w:styleId="340">
    <w:name w:val="font81"/>
    <w:basedOn w:val="51"/>
    <w:uiPriority w:val="0"/>
    <w:rPr>
      <w:rFonts w:hint="eastAsia" w:ascii="宋体" w:hAnsi="宋体" w:eastAsia="宋体" w:cs="宋体"/>
      <w:color w:val="000000"/>
      <w:sz w:val="28"/>
      <w:szCs w:val="28"/>
      <w:u w:val="none"/>
    </w:rPr>
  </w:style>
  <w:style w:type="character" w:customStyle="1" w:styleId="341">
    <w:name w:val="font51"/>
    <w:basedOn w:val="51"/>
    <w:uiPriority w:val="0"/>
    <w:rPr>
      <w:rFonts w:hint="eastAsia" w:ascii="宋体" w:hAnsi="宋体" w:eastAsia="宋体" w:cs="宋体"/>
      <w:color w:val="000000"/>
      <w:sz w:val="24"/>
      <w:szCs w:val="24"/>
      <w:u w:val="none"/>
    </w:rPr>
  </w:style>
  <w:style w:type="paragraph" w:customStyle="1" w:styleId="342">
    <w:name w:val="默认段落字体 Para Char Char Char Char Char Char Char Char Char1 Char Char Char Char Char Char Char"/>
    <w:basedOn w:val="22"/>
    <w:uiPriority w:val="0"/>
    <w:pPr>
      <w:shd w:val="clear" w:color="auto" w:fill="000080"/>
    </w:pPr>
    <w:rPr>
      <w:rFonts w:ascii="Tahoma" w:hAnsi="Tahoma"/>
      <w:sz w:val="24"/>
      <w:szCs w:val="24"/>
    </w:rPr>
  </w:style>
  <w:style w:type="character" w:customStyle="1" w:styleId="343">
    <w:name w:val="HTML 预设格式 Char"/>
    <w:basedOn w:val="51"/>
    <w:link w:val="49"/>
    <w:uiPriority w:val="0"/>
    <w:rPr>
      <w:rFonts w:ascii="黑体" w:hAnsi="Courier New" w:eastAsia="黑体" w:cs="楷体_GB2312"/>
      <w:kern w:val="0"/>
      <w:sz w:val="20"/>
      <w:szCs w:val="20"/>
    </w:rPr>
  </w:style>
  <w:style w:type="paragraph" w:customStyle="1" w:styleId="344">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345">
    <w:name w:val="ParaAttribute5"/>
    <w:uiPriority w:val="0"/>
    <w:pPr>
      <w:widowControl w:val="0"/>
      <w:wordWrap w:val="0"/>
      <w:ind w:firstLine="482"/>
      <w:jc w:val="both"/>
    </w:pPr>
    <w:rPr>
      <w:rFonts w:ascii="Times New Roman" w:hAnsi="Times New Roman" w:eastAsia="官帕" w:cs="Times New Roman"/>
      <w:lang w:val="en-US" w:eastAsia="zh-CN" w:bidi="ar-SA"/>
    </w:rPr>
  </w:style>
  <w:style w:type="paragraph" w:customStyle="1" w:styleId="346">
    <w:name w:val="表格侧编号"/>
    <w:next w:val="1"/>
    <w:uiPriority w:val="0"/>
    <w:pPr>
      <w:widowControl w:val="0"/>
      <w:tabs>
        <w:tab w:val="left" w:pos="314"/>
      </w:tabs>
      <w:jc w:val="center"/>
      <w:textAlignment w:val="baseline"/>
    </w:pPr>
    <w:rPr>
      <w:rFonts w:ascii="宋体" w:hAnsi="宋体" w:eastAsia="宋体" w:cs="Times New Roman"/>
      <w:bCs/>
      <w:color w:val="000000"/>
      <w:kern w:val="2"/>
      <w:sz w:val="30"/>
      <w:szCs w:val="30"/>
      <w:lang w:val="en-US" w:eastAsia="zh-CN" w:bidi="ar-SA"/>
    </w:rPr>
  </w:style>
  <w:style w:type="paragraph" w:customStyle="1" w:styleId="347">
    <w:name w:val="(1)"/>
    <w:basedOn w:val="1"/>
    <w:uiPriority w:val="0"/>
    <w:pPr>
      <w:adjustRightInd w:val="0"/>
      <w:spacing w:line="400" w:lineRule="exact"/>
      <w:textAlignment w:val="baseline"/>
    </w:pPr>
    <w:rPr>
      <w:rFonts w:ascii="楷体_GB2312" w:hAnsi="Arial" w:eastAsia="楷体_GB2312"/>
      <w:kern w:val="44"/>
      <w:sz w:val="24"/>
    </w:rPr>
  </w:style>
  <w:style w:type="paragraph" w:customStyle="1" w:styleId="348">
    <w:name w:val="纯文本1"/>
    <w:basedOn w:val="1"/>
    <w:uiPriority w:val="0"/>
    <w:pPr>
      <w:adjustRightInd w:val="0"/>
      <w:textAlignment w:val="baseline"/>
    </w:pPr>
    <w:rPr>
      <w:rFonts w:ascii="宋体" w:hAnsi="Courier New" w:eastAsia="楷体_GB2312"/>
      <w:sz w:val="26"/>
      <w:szCs w:val="20"/>
    </w:rPr>
  </w:style>
  <w:style w:type="paragraph" w:customStyle="1" w:styleId="349">
    <w:name w:val="附言"/>
    <w:basedOn w:val="1"/>
    <w:next w:val="1"/>
    <w:uiPriority w:val="0"/>
    <w:pPr>
      <w:jc w:val="center"/>
    </w:pPr>
    <w:rPr>
      <w:rFonts w:ascii="宋体" w:hAnsi="宋体"/>
    </w:rPr>
  </w:style>
  <w:style w:type="paragraph" w:customStyle="1" w:styleId="350">
    <w:name w:val="cjk"/>
    <w:basedOn w:val="1"/>
    <w:uiPriority w:val="0"/>
    <w:pPr>
      <w:widowControl/>
      <w:spacing w:before="100" w:beforeAutospacing="1" w:after="119"/>
    </w:pPr>
    <w:rPr>
      <w:rFonts w:ascii="宋体" w:hAnsi="宋体" w:cs="宋体"/>
      <w:color w:val="000000"/>
      <w:kern w:val="0"/>
      <w:sz w:val="28"/>
      <w:szCs w:val="28"/>
    </w:rPr>
  </w:style>
  <w:style w:type="paragraph" w:customStyle="1" w:styleId="351">
    <w:name w:val="样式2"/>
    <w:basedOn w:val="1"/>
    <w:uiPriority w:val="0"/>
    <w:pPr>
      <w:adjustRightInd w:val="0"/>
      <w:spacing w:line="410" w:lineRule="atLeast"/>
      <w:jc w:val="left"/>
      <w:textAlignment w:val="baseline"/>
    </w:pPr>
    <w:rPr>
      <w:kern w:val="0"/>
      <w:sz w:val="24"/>
      <w:szCs w:val="20"/>
    </w:rPr>
  </w:style>
  <w:style w:type="paragraph" w:customStyle="1" w:styleId="352">
    <w:name w:val="Char Char Char Char1"/>
    <w:basedOn w:val="22"/>
    <w:uiPriority w:val="0"/>
    <w:pPr>
      <w:shd w:val="clear" w:color="auto" w:fill="000080"/>
      <w:adjustRightInd w:val="0"/>
      <w:snapToGrid w:val="0"/>
      <w:spacing w:line="360" w:lineRule="auto"/>
    </w:pPr>
    <w:rPr>
      <w:rFonts w:ascii="Tahoma" w:hAnsi="Tahoma"/>
      <w:sz w:val="24"/>
      <w:szCs w:val="24"/>
    </w:rPr>
  </w:style>
  <w:style w:type="paragraph" w:customStyle="1" w:styleId="353">
    <w:name w:val="正文1"/>
    <w:basedOn w:val="1"/>
    <w:uiPriority w:val="0"/>
    <w:pPr>
      <w:adjustRightInd w:val="0"/>
      <w:spacing w:line="360" w:lineRule="atLeast"/>
      <w:jc w:val="left"/>
      <w:textAlignment w:val="baseline"/>
    </w:pPr>
    <w:rPr>
      <w:rFonts w:ascii="宋体"/>
      <w:kern w:val="0"/>
      <w:sz w:val="24"/>
      <w:szCs w:val="20"/>
    </w:rPr>
  </w:style>
  <w:style w:type="paragraph" w:customStyle="1" w:styleId="354">
    <w:name w:val="表内文字"/>
    <w:basedOn w:val="1"/>
    <w:qFormat/>
    <w:uiPriority w:val="0"/>
    <w:pPr>
      <w:spacing w:line="360" w:lineRule="auto"/>
    </w:pPr>
    <w:rPr>
      <w:rFonts w:ascii="宋体" w:hAnsi="宋体"/>
      <w:bCs/>
      <w:sz w:val="24"/>
    </w:rPr>
  </w:style>
  <w:style w:type="paragraph" w:customStyle="1" w:styleId="355">
    <w:name w:val="ParaAttribute3"/>
    <w:uiPriority w:val="0"/>
    <w:pPr>
      <w:widowControl w:val="0"/>
      <w:wordWrap w:val="0"/>
      <w:jc w:val="both"/>
    </w:pPr>
    <w:rPr>
      <w:rFonts w:ascii="Times New Roman" w:hAnsi="Times New Roman" w:eastAsia="官帕"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4297</Words>
  <Characters>24498</Characters>
  <Lines>204</Lines>
  <Paragraphs>57</Paragraphs>
  <TotalTime>1436</TotalTime>
  <ScaleCrop>false</ScaleCrop>
  <LinksUpToDate>false</LinksUpToDate>
  <CharactersWithSpaces>28738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2018-05-07T13:51:00Z</dcterms:created>
  <dc:creator>pc</dc:creator>
  <cp:lastModifiedBy>Administrator</cp:lastModifiedBy>
  <cp:lastPrinted>2018-07-17T06:19:00Z</cp:lastPrinted>
  <dcterms:modified xsi:type="dcterms:W3CDTF">2018-07-19T01:53:49Z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