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4FF8D">
      <w:pPr>
        <w:adjustRightInd w:val="0"/>
        <w:spacing w:after="0" w:line="360" w:lineRule="auto"/>
        <w:jc w:val="center"/>
        <w:rPr>
          <w:rFonts w:hint="eastAsia" w:ascii="黑体" w:hAnsi="黑体" w:eastAsia="黑体" w:cs="宋体"/>
          <w:b/>
          <w:spacing w:val="2"/>
          <w:w w:val="99"/>
          <w:position w:val="-4"/>
          <w:sz w:val="44"/>
          <w:szCs w:val="44"/>
          <w:lang w:eastAsia="zh-CN"/>
        </w:rPr>
      </w:pPr>
      <w:r>
        <w:rPr>
          <w:rFonts w:hint="eastAsia" w:ascii="黑体" w:hAnsi="黑体" w:eastAsia="黑体" w:cs="宋体"/>
          <w:b/>
          <w:spacing w:val="2"/>
          <w:w w:val="99"/>
          <w:position w:val="-4"/>
          <w:sz w:val="44"/>
          <w:szCs w:val="44"/>
          <w:lang w:eastAsia="zh-CN"/>
        </w:rPr>
        <w:t>武澄西路北侧、永武路东侧（QQ010508-01）地块项目供电施工项目公开招标公告</w:t>
      </w:r>
    </w:p>
    <w:p w14:paraId="4ACC9CCA">
      <w:pPr>
        <w:adjustRightInd w:val="0"/>
        <w:spacing w:after="0" w:line="440" w:lineRule="exact"/>
        <w:jc w:val="center"/>
        <w:rPr>
          <w:rFonts w:hint="eastAsia" w:ascii="宋体" w:hAnsi="宋体" w:cs="宋体"/>
          <w:sz w:val="24"/>
          <w:szCs w:val="24"/>
          <w:lang w:eastAsia="zh-CN"/>
        </w:rPr>
      </w:pPr>
      <w:r>
        <w:rPr>
          <w:rFonts w:hint="eastAsia" w:ascii="宋体" w:hAnsi="宋体" w:cs="宋体"/>
          <w:sz w:val="24"/>
          <w:szCs w:val="24"/>
          <w:lang w:eastAsia="zh-CN"/>
        </w:rPr>
        <w:t>项目编号：ZRCG-20251206</w:t>
      </w:r>
    </w:p>
    <w:p w14:paraId="26A7BFAF">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一、招标条件</w:t>
      </w:r>
    </w:p>
    <w:p w14:paraId="0C716F4C">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武澄西路北侧、永武路东侧（QQ010508-01）地块项目供电施工项目的招标人为常州中交建设发展有限公司，建设资金来源：自筹，项目出资比例为国有资金：100%。项目已具备招标条件，现对该项目供电施工进行公开招标。</w:t>
      </w:r>
    </w:p>
    <w:p w14:paraId="76C77E76">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二、项目概况</w:t>
      </w:r>
    </w:p>
    <w:p w14:paraId="5E4B7C7C">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1.工程概况：总建筑面积65191.57平方米，其中:地上建筑面积49424.7平方米，地下建筑面积15766.87平方米。主要建设5幢住宅、2层配套服务用房，另配套建设地下室;同步实施环境绿化、道路、活动场地、地面停车场地及水、电、气等综合配套设施。</w:t>
      </w:r>
    </w:p>
    <w:p w14:paraId="10F39890">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2.工程内容：本工程为武澄西路北侧、永武路东侧（QQ010508-01）地块项目供电施工，本次招标范围包括且不限于居配、公建、充电桩表前表后等涉及供电施工及材料设备采购安装调试的所有内容：</w:t>
      </w:r>
      <w:r>
        <w:rPr>
          <w:rFonts w:hint="eastAsia" w:ascii="宋体" w:hAnsi="宋体" w:cs="宋体"/>
          <w:color w:val="000000" w:themeColor="text1"/>
          <w:spacing w:val="-2"/>
          <w:sz w:val="24"/>
          <w:szCs w:val="24"/>
          <w:lang w:eastAsia="zh-CN"/>
          <w14:textFill>
            <w14:solidFill>
              <w14:schemeClr w14:val="tx1"/>
            </w14:solidFill>
          </w14:textFill>
        </w:rPr>
        <w:t>开关站、配电房内的高低压配电柜、变压器、设备接地、电缆、桥架、电缆桥架穿墙封堵、配电房门窗、装修施工等；配电房低压出线至充电桩（含地下充电桩）施工；配电房低压出线至楼栋总电箱、总电箱至楼层入户配电箱（含智能电表）施工，电缆沟、排管及桥架实施；</w:t>
      </w:r>
      <w:r>
        <w:rPr>
          <w:rFonts w:hint="eastAsia" w:ascii="宋体" w:hAnsi="宋体" w:cs="宋体"/>
          <w:color w:val="000000" w:themeColor="text1"/>
          <w:spacing w:val="-2"/>
          <w:sz w:val="24"/>
          <w:szCs w:val="24"/>
          <w:lang w:val="en-US" w:eastAsia="zh-CN"/>
          <w14:textFill>
            <w14:solidFill>
              <w14:schemeClr w14:val="tx1"/>
            </w14:solidFill>
          </w14:textFill>
        </w:rPr>
        <w:t>公建</w:t>
      </w:r>
      <w:r>
        <w:rPr>
          <w:rFonts w:hint="eastAsia" w:ascii="宋体" w:hAnsi="宋体" w:cs="宋体"/>
          <w:color w:val="000000" w:themeColor="text1"/>
          <w:spacing w:val="-2"/>
          <w:sz w:val="24"/>
          <w:szCs w:val="24"/>
          <w:lang w:eastAsia="zh-CN"/>
          <w14:textFill>
            <w14:solidFill>
              <w14:schemeClr w14:val="tx1"/>
            </w14:solidFill>
          </w14:textFill>
        </w:rPr>
        <w:t>表后部分施工（自电表箱内电表至所有用电设备的线路连接及末端安装工作）；高可靠性服务费缴纳、</w:t>
      </w:r>
      <w:r>
        <w:rPr>
          <w:rFonts w:hint="eastAsia" w:ascii="宋体" w:hAnsi="宋体" w:cs="宋体"/>
          <w:color w:val="000000" w:themeColor="text1"/>
          <w:spacing w:val="-2"/>
          <w:sz w:val="24"/>
          <w:szCs w:val="24"/>
          <w:lang w:val="en-US" w:eastAsia="zh-CN"/>
          <w14:textFill>
            <w14:solidFill>
              <w14:schemeClr w14:val="tx1"/>
            </w14:solidFill>
          </w14:textFill>
        </w:rPr>
        <w:t>公建</w:t>
      </w:r>
      <w:r>
        <w:rPr>
          <w:rFonts w:hint="eastAsia" w:ascii="宋体" w:hAnsi="宋体" w:cs="宋体"/>
          <w:color w:val="000000" w:themeColor="text1"/>
          <w:spacing w:val="-2"/>
          <w:sz w:val="24"/>
          <w:szCs w:val="24"/>
          <w:lang w:eastAsia="zh-CN"/>
          <w14:textFill>
            <w14:solidFill>
              <w14:schemeClr w14:val="tx1"/>
            </w14:solidFill>
          </w14:textFill>
        </w:rPr>
        <w:t>表后部分施工、报装电表办理、用户预缴电费、施工过程中涉及的开洞、封堵</w:t>
      </w:r>
      <w:r>
        <w:rPr>
          <w:rFonts w:hint="eastAsia" w:ascii="宋体" w:hAnsi="宋体" w:cs="宋体"/>
          <w:color w:val="000000" w:themeColor="text1"/>
          <w:spacing w:val="-2"/>
          <w:sz w:val="24"/>
          <w:szCs w:val="24"/>
          <w:lang w:val="en-US" w:eastAsia="zh-CN"/>
          <w14:textFill>
            <w14:solidFill>
              <w14:schemeClr w14:val="tx1"/>
            </w14:solidFill>
          </w14:textFill>
        </w:rPr>
        <w:t>及</w:t>
      </w:r>
      <w:r>
        <w:rPr>
          <w:rFonts w:hint="eastAsia" w:ascii="宋体" w:hAnsi="宋体" w:cs="宋体"/>
          <w:color w:val="000000" w:themeColor="text1"/>
          <w:spacing w:val="-2"/>
          <w:sz w:val="24"/>
          <w:szCs w:val="24"/>
          <w:lang w:eastAsia="zh-CN"/>
          <w14:textFill>
            <w14:solidFill>
              <w14:schemeClr w14:val="tx1"/>
            </w14:solidFill>
          </w14:textFill>
        </w:rPr>
        <w:t>维修、施工总包配合服务费等所有内容。</w:t>
      </w:r>
      <w:r>
        <w:rPr>
          <w:rFonts w:hint="eastAsia" w:ascii="宋体" w:hAnsi="宋体" w:cs="宋体"/>
          <w:spacing w:val="-2"/>
          <w:sz w:val="24"/>
          <w:szCs w:val="24"/>
          <w:lang w:eastAsia="zh-CN"/>
        </w:rPr>
        <w:t>防雷设施应配套设置，满足国家规范及常州本地相关要求；</w:t>
      </w:r>
      <w:bookmarkStart w:id="0" w:name="_Hlk141450649"/>
      <w:r>
        <w:rPr>
          <w:rFonts w:hint="eastAsia" w:ascii="宋体" w:hAnsi="宋体" w:cs="宋体"/>
          <w:spacing w:val="-2"/>
          <w:sz w:val="24"/>
          <w:szCs w:val="24"/>
          <w:lang w:eastAsia="zh-CN"/>
        </w:rPr>
        <w:t>供电实施需满足常州市供电公司验收要求并协调相关部门按合同约定时间完成送电。</w:t>
      </w:r>
    </w:p>
    <w:bookmarkEnd w:id="0"/>
    <w:p w14:paraId="6C3074EC">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3.工程地点：项目位于江苏常州天宁经济开发区。</w:t>
      </w:r>
    </w:p>
    <w:p w14:paraId="1A026CCF">
      <w:pPr>
        <w:spacing w:after="0" w:line="360" w:lineRule="auto"/>
        <w:ind w:firstLine="472" w:firstLineChars="200"/>
        <w:jc w:val="both"/>
        <w:rPr>
          <w:rFonts w:hint="eastAsia" w:ascii="宋体" w:hAnsi="宋体" w:cs="宋体"/>
          <w:color w:val="FF0000"/>
          <w:spacing w:val="-2"/>
          <w:sz w:val="24"/>
          <w:szCs w:val="24"/>
          <w:lang w:eastAsia="zh-CN"/>
        </w:rPr>
      </w:pPr>
      <w:r>
        <w:rPr>
          <w:rFonts w:hint="eastAsia" w:ascii="宋体" w:hAnsi="宋体" w:cs="宋体"/>
          <w:spacing w:val="-2"/>
          <w:sz w:val="24"/>
          <w:szCs w:val="24"/>
          <w:lang w:eastAsia="zh-CN"/>
        </w:rPr>
        <w:t>4.</w:t>
      </w:r>
      <w:bookmarkStart w:id="1" w:name="OLE_LINK7"/>
      <w:r>
        <w:rPr>
          <w:rFonts w:hint="eastAsia" w:ascii="宋体" w:hAnsi="宋体" w:cs="宋体"/>
          <w:spacing w:val="-2"/>
          <w:sz w:val="24"/>
          <w:szCs w:val="24"/>
          <w:lang w:eastAsia="zh-CN"/>
        </w:rPr>
        <w:t>计划工期：计划开工日期为</w:t>
      </w:r>
      <w:r>
        <w:rPr>
          <w:rFonts w:hint="eastAsia" w:ascii="宋体" w:hAnsi="宋体" w:cs="宋体"/>
          <w:color w:val="FF0000"/>
          <w:spacing w:val="-2"/>
          <w:sz w:val="24"/>
          <w:szCs w:val="24"/>
          <w:lang w:eastAsia="zh-CN"/>
        </w:rPr>
        <w:t>202</w:t>
      </w:r>
      <w:r>
        <w:rPr>
          <w:rFonts w:hint="eastAsia" w:ascii="宋体" w:hAnsi="宋体" w:cs="宋体"/>
          <w:color w:val="FF0000"/>
          <w:spacing w:val="-2"/>
          <w:sz w:val="24"/>
          <w:szCs w:val="24"/>
          <w:lang w:val="en-US" w:eastAsia="zh-CN"/>
        </w:rPr>
        <w:t>6</w:t>
      </w:r>
      <w:r>
        <w:rPr>
          <w:rFonts w:hint="eastAsia" w:ascii="宋体" w:hAnsi="宋体" w:cs="宋体"/>
          <w:color w:val="FF0000"/>
          <w:spacing w:val="-2"/>
          <w:sz w:val="24"/>
          <w:szCs w:val="24"/>
          <w:lang w:eastAsia="zh-CN"/>
        </w:rPr>
        <w:t>年</w:t>
      </w:r>
      <w:r>
        <w:rPr>
          <w:rFonts w:hint="eastAsia" w:ascii="宋体" w:hAnsi="宋体" w:cs="宋体"/>
          <w:color w:val="FF0000"/>
          <w:spacing w:val="-2"/>
          <w:sz w:val="24"/>
          <w:szCs w:val="24"/>
          <w:lang w:val="en-US" w:eastAsia="zh-CN"/>
        </w:rPr>
        <w:t>2</w:t>
      </w:r>
      <w:r>
        <w:rPr>
          <w:rFonts w:hint="eastAsia" w:ascii="宋体" w:hAnsi="宋体" w:cs="宋体"/>
          <w:color w:val="FF0000"/>
          <w:spacing w:val="-2"/>
          <w:sz w:val="24"/>
          <w:szCs w:val="24"/>
          <w:lang w:eastAsia="zh-CN"/>
        </w:rPr>
        <w:t>月</w:t>
      </w:r>
      <w:r>
        <w:rPr>
          <w:rFonts w:hint="eastAsia" w:ascii="宋体" w:hAnsi="宋体" w:cs="宋体"/>
          <w:color w:val="FF0000"/>
          <w:spacing w:val="-2"/>
          <w:sz w:val="24"/>
          <w:szCs w:val="24"/>
          <w:lang w:val="en-US" w:eastAsia="zh-CN"/>
        </w:rPr>
        <w:t>1</w:t>
      </w:r>
      <w:r>
        <w:rPr>
          <w:rFonts w:hint="eastAsia" w:ascii="宋体" w:hAnsi="宋体" w:cs="宋体"/>
          <w:color w:val="FF0000"/>
          <w:spacing w:val="-2"/>
          <w:sz w:val="24"/>
          <w:szCs w:val="24"/>
          <w:lang w:eastAsia="zh-CN"/>
        </w:rPr>
        <w:t>日</w:t>
      </w:r>
      <w:r>
        <w:rPr>
          <w:rFonts w:hint="eastAsia" w:ascii="宋体" w:hAnsi="宋体" w:cs="宋体"/>
          <w:spacing w:val="-2"/>
          <w:sz w:val="24"/>
          <w:szCs w:val="24"/>
          <w:lang w:eastAsia="zh-CN"/>
        </w:rPr>
        <w:t>，具体开工日期以招标人书面通知为准。施工工期总日历天数为150日历日，质保期为竣工验收合格之日起2年。同时施工工期必须严格服从招标人的安排，满足工程进度的要求。</w:t>
      </w:r>
    </w:p>
    <w:bookmarkEnd w:id="1"/>
    <w:p w14:paraId="6A150A67">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5.质量要求</w:t>
      </w:r>
      <w:r>
        <w:rPr>
          <w:rFonts w:ascii="宋体" w:hAnsi="宋体" w:cs="宋体"/>
          <w:spacing w:val="-2"/>
          <w:sz w:val="24"/>
          <w:szCs w:val="24"/>
          <w:lang w:eastAsia="zh-CN"/>
        </w:rPr>
        <w:t>:</w:t>
      </w:r>
      <w:r>
        <w:rPr>
          <w:rFonts w:hint="eastAsia" w:ascii="宋体" w:hAnsi="宋体" w:cs="宋体"/>
          <w:spacing w:val="-2"/>
          <w:sz w:val="24"/>
          <w:szCs w:val="24"/>
          <w:lang w:eastAsia="zh-CN"/>
        </w:rPr>
        <w:t>满足国家规范及常州市供电（居配、公建及充电桩等）工程相关规范及文件要求，质量标准合格。</w:t>
      </w:r>
    </w:p>
    <w:p w14:paraId="443CFD04">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（包含不限于）：</w:t>
      </w:r>
    </w:p>
    <w:p w14:paraId="72C355FF">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江苏省工程建设标准DGJ32/TJ11-2016;</w:t>
      </w:r>
    </w:p>
    <w:p w14:paraId="4AC705C8">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江苏省工程建设标准DGJ32/J14-2005；</w:t>
      </w:r>
    </w:p>
    <w:p w14:paraId="5035A418">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电力工程施工及验收规范2018；</w:t>
      </w:r>
    </w:p>
    <w:p w14:paraId="34E50FC6">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电力建设施工及验收技术规范等；</w:t>
      </w:r>
    </w:p>
    <w:p w14:paraId="529AFDB7">
      <w:pPr>
        <w:pStyle w:val="19"/>
        <w:ind w:firstLine="480" w:firstLineChars="200"/>
        <w:rPr>
          <w:color w:val="auto"/>
        </w:rPr>
      </w:pPr>
      <w:r>
        <w:rPr>
          <w:rFonts w:hint="eastAsia"/>
          <w:color w:val="auto"/>
        </w:rPr>
        <w:t>关于加快常州市新建居民住宅小区电动汽车充电基础设施建设的通知常发改【2021】39号。</w:t>
      </w:r>
    </w:p>
    <w:p w14:paraId="1F0426B4">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三、投标人资格条件</w:t>
      </w:r>
    </w:p>
    <w:p w14:paraId="7D4D9D54">
      <w:pPr>
        <w:spacing w:after="0" w:line="360" w:lineRule="auto"/>
        <w:ind w:firstLine="480" w:firstLineChars="200"/>
        <w:jc w:val="both"/>
        <w:rPr>
          <w:rFonts w:hint="eastAsia" w:ascii="宋体" w:hAnsi="宋体" w:cs="宋体"/>
          <w:sz w:val="21"/>
          <w:szCs w:val="21"/>
          <w:lang w:eastAsia="zh-CN"/>
        </w:rPr>
      </w:pPr>
      <w:r>
        <w:rPr>
          <w:rFonts w:hint="eastAsia" w:ascii="宋体" w:hAnsi="宋体" w:cs="宋体"/>
          <w:sz w:val="24"/>
          <w:szCs w:val="24"/>
          <w:lang w:eastAsia="zh-CN"/>
        </w:rPr>
        <w:t>本招</w:t>
      </w:r>
      <w:r>
        <w:rPr>
          <w:rFonts w:hint="eastAsia" w:ascii="宋体" w:hAnsi="宋体" w:cs="宋体"/>
          <w:spacing w:val="-2"/>
          <w:sz w:val="24"/>
          <w:szCs w:val="24"/>
          <w:lang w:eastAsia="zh-CN"/>
        </w:rPr>
        <w:t>标</w:t>
      </w:r>
      <w:r>
        <w:rPr>
          <w:rFonts w:hint="eastAsia" w:ascii="宋体" w:hAnsi="宋体" w:cs="宋体"/>
          <w:sz w:val="24"/>
          <w:szCs w:val="24"/>
          <w:lang w:eastAsia="zh-CN"/>
        </w:rPr>
        <w:t>工</w:t>
      </w:r>
      <w:r>
        <w:rPr>
          <w:rFonts w:hint="eastAsia" w:ascii="宋体" w:hAnsi="宋体" w:cs="宋体"/>
          <w:spacing w:val="-2"/>
          <w:sz w:val="24"/>
          <w:szCs w:val="24"/>
          <w:lang w:eastAsia="zh-CN"/>
        </w:rPr>
        <w:t>程共</w:t>
      </w:r>
      <w:r>
        <w:rPr>
          <w:rFonts w:hint="eastAsia" w:ascii="宋体" w:hAnsi="宋体" w:cs="宋体"/>
          <w:sz w:val="24"/>
          <w:szCs w:val="24"/>
          <w:lang w:eastAsia="zh-CN"/>
        </w:rPr>
        <w:t>分</w:t>
      </w:r>
      <w:r>
        <w:rPr>
          <w:rFonts w:ascii="宋体" w:hAnsi="宋体" w:cs="宋体"/>
          <w:sz w:val="24"/>
          <w:szCs w:val="24"/>
          <w:lang w:eastAsia="zh-CN"/>
        </w:rPr>
        <w:t>1</w:t>
      </w:r>
      <w:r>
        <w:rPr>
          <w:rFonts w:hint="eastAsia" w:ascii="宋体" w:hAnsi="宋体" w:cs="宋体"/>
          <w:spacing w:val="-2"/>
          <w:sz w:val="24"/>
          <w:szCs w:val="24"/>
          <w:lang w:eastAsia="zh-CN"/>
        </w:rPr>
        <w:t>个</w:t>
      </w:r>
      <w:r>
        <w:rPr>
          <w:rFonts w:hint="eastAsia" w:ascii="宋体" w:hAnsi="宋体" w:cs="宋体"/>
          <w:sz w:val="24"/>
          <w:szCs w:val="24"/>
          <w:lang w:eastAsia="zh-CN"/>
        </w:rPr>
        <w:t>标</w:t>
      </w:r>
      <w:r>
        <w:rPr>
          <w:rFonts w:hint="eastAsia" w:ascii="宋体" w:hAnsi="宋体" w:cs="宋体"/>
          <w:spacing w:val="-2"/>
          <w:sz w:val="24"/>
          <w:szCs w:val="24"/>
          <w:lang w:eastAsia="zh-CN"/>
        </w:rPr>
        <w:t>段</w:t>
      </w:r>
      <w:r>
        <w:rPr>
          <w:rFonts w:hint="eastAsia" w:ascii="宋体" w:hAnsi="宋体" w:cs="宋体"/>
          <w:sz w:val="24"/>
          <w:szCs w:val="24"/>
          <w:lang w:eastAsia="zh-CN"/>
        </w:rPr>
        <w:t>，标</w:t>
      </w:r>
      <w:r>
        <w:rPr>
          <w:rFonts w:hint="eastAsia" w:ascii="宋体" w:hAnsi="宋体" w:cs="宋体"/>
          <w:spacing w:val="-2"/>
          <w:sz w:val="24"/>
          <w:szCs w:val="24"/>
          <w:lang w:eastAsia="zh-CN"/>
        </w:rPr>
        <w:t>段</w:t>
      </w:r>
      <w:r>
        <w:rPr>
          <w:rFonts w:hint="eastAsia" w:ascii="宋体" w:hAnsi="宋体" w:cs="宋体"/>
          <w:sz w:val="24"/>
          <w:szCs w:val="24"/>
          <w:lang w:eastAsia="zh-CN"/>
        </w:rPr>
        <w:t>划</w:t>
      </w:r>
      <w:r>
        <w:rPr>
          <w:rFonts w:hint="eastAsia" w:ascii="宋体" w:hAnsi="宋体" w:cs="宋体"/>
          <w:spacing w:val="-2"/>
          <w:sz w:val="24"/>
          <w:szCs w:val="24"/>
          <w:lang w:eastAsia="zh-CN"/>
        </w:rPr>
        <w:t>分</w:t>
      </w:r>
      <w:r>
        <w:rPr>
          <w:rFonts w:hint="eastAsia" w:ascii="宋体" w:hAnsi="宋体" w:cs="宋体"/>
          <w:sz w:val="24"/>
          <w:szCs w:val="24"/>
          <w:lang w:eastAsia="zh-CN"/>
        </w:rPr>
        <w:t>及</w:t>
      </w:r>
      <w:r>
        <w:rPr>
          <w:rFonts w:hint="eastAsia" w:ascii="宋体" w:hAnsi="宋体" w:cs="宋体"/>
          <w:spacing w:val="-2"/>
          <w:sz w:val="24"/>
          <w:szCs w:val="24"/>
          <w:lang w:eastAsia="zh-CN"/>
        </w:rPr>
        <w:t>投</w:t>
      </w:r>
      <w:r>
        <w:rPr>
          <w:rFonts w:hint="eastAsia" w:ascii="宋体" w:hAnsi="宋体" w:cs="宋体"/>
          <w:sz w:val="24"/>
          <w:szCs w:val="24"/>
          <w:lang w:eastAsia="zh-CN"/>
        </w:rPr>
        <w:t>标人</w:t>
      </w:r>
      <w:r>
        <w:rPr>
          <w:rFonts w:hint="eastAsia" w:ascii="宋体" w:hAnsi="宋体" w:cs="宋体"/>
          <w:spacing w:val="-2"/>
          <w:sz w:val="24"/>
          <w:szCs w:val="24"/>
          <w:lang w:eastAsia="zh-CN"/>
        </w:rPr>
        <w:t>资格</w:t>
      </w:r>
      <w:r>
        <w:rPr>
          <w:rFonts w:hint="eastAsia" w:ascii="宋体" w:hAnsi="宋体" w:cs="宋体"/>
          <w:sz w:val="24"/>
          <w:szCs w:val="24"/>
          <w:lang w:eastAsia="zh-CN"/>
        </w:rPr>
        <w:t>要求</w:t>
      </w:r>
      <w:r>
        <w:rPr>
          <w:rFonts w:hint="eastAsia" w:ascii="宋体" w:hAnsi="宋体" w:cs="宋体"/>
          <w:spacing w:val="-2"/>
          <w:sz w:val="24"/>
          <w:szCs w:val="24"/>
          <w:lang w:eastAsia="zh-CN"/>
        </w:rPr>
        <w:t>如</w:t>
      </w:r>
      <w:r>
        <w:rPr>
          <w:rFonts w:hint="eastAsia" w:ascii="宋体" w:hAnsi="宋体" w:cs="宋体"/>
          <w:sz w:val="24"/>
          <w:szCs w:val="24"/>
          <w:lang w:eastAsia="zh-CN"/>
        </w:rPr>
        <w:t>下：</w:t>
      </w:r>
    </w:p>
    <w:tbl>
      <w:tblPr>
        <w:tblStyle w:val="12"/>
        <w:tblW w:w="9780" w:type="dxa"/>
        <w:tblInd w:w="0" w:type="dxa"/>
        <w:tblLayout w:type="fixed"/>
        <w:tblCellMar>
          <w:top w:w="0" w:type="dxa"/>
          <w:left w:w="0" w:type="dxa"/>
          <w:bottom w:w="0" w:type="dxa"/>
          <w:right w:w="0" w:type="dxa"/>
        </w:tblCellMar>
      </w:tblPr>
      <w:tblGrid>
        <w:gridCol w:w="1153"/>
        <w:gridCol w:w="1591"/>
        <w:gridCol w:w="1258"/>
        <w:gridCol w:w="1307"/>
        <w:gridCol w:w="1577"/>
        <w:gridCol w:w="2894"/>
      </w:tblGrid>
      <w:tr w14:paraId="66764BD1">
        <w:tblPrEx>
          <w:tblCellMar>
            <w:top w:w="0" w:type="dxa"/>
            <w:left w:w="0" w:type="dxa"/>
            <w:bottom w:w="0" w:type="dxa"/>
            <w:right w:w="0" w:type="dxa"/>
          </w:tblCellMar>
        </w:tblPrEx>
        <w:trPr>
          <w:trHeight w:val="832" w:hRule="exact"/>
        </w:trPr>
        <w:tc>
          <w:tcPr>
            <w:tcW w:w="1153" w:type="dxa"/>
            <w:tcBorders>
              <w:top w:val="single" w:color="000000" w:sz="4" w:space="0"/>
              <w:left w:val="single" w:color="000000" w:sz="4" w:space="0"/>
              <w:bottom w:val="single" w:color="000000" w:sz="4" w:space="0"/>
              <w:right w:val="single" w:color="000000" w:sz="4" w:space="0"/>
            </w:tcBorders>
            <w:vAlign w:val="center"/>
          </w:tcPr>
          <w:p w14:paraId="2599ACD5">
            <w:pPr>
              <w:spacing w:after="0" w:line="360" w:lineRule="auto"/>
              <w:jc w:val="center"/>
              <w:rPr>
                <w:rFonts w:hint="eastAsia" w:ascii="宋体" w:hAnsi="宋体" w:cs="宋体"/>
                <w:b/>
                <w:sz w:val="21"/>
                <w:szCs w:val="21"/>
              </w:rPr>
            </w:pPr>
            <w:r>
              <w:rPr>
                <w:rFonts w:hint="eastAsia" w:ascii="宋体" w:hAnsi="宋体" w:cs="宋体"/>
                <w:b/>
                <w:sz w:val="21"/>
                <w:szCs w:val="21"/>
              </w:rPr>
              <w:t>标段</w:t>
            </w:r>
            <w:r>
              <w:rPr>
                <w:rFonts w:hint="eastAsia" w:ascii="宋体" w:hAnsi="宋体" w:cs="宋体"/>
                <w:b/>
                <w:spacing w:val="-2"/>
                <w:sz w:val="21"/>
                <w:szCs w:val="21"/>
              </w:rPr>
              <w:t>序</w:t>
            </w:r>
            <w:r>
              <w:rPr>
                <w:rFonts w:hint="eastAsia" w:ascii="宋体" w:hAnsi="宋体" w:cs="宋体"/>
                <w:b/>
                <w:sz w:val="21"/>
                <w:szCs w:val="21"/>
              </w:rPr>
              <w:t>号</w:t>
            </w:r>
          </w:p>
        </w:tc>
        <w:tc>
          <w:tcPr>
            <w:tcW w:w="1591" w:type="dxa"/>
            <w:tcBorders>
              <w:top w:val="single" w:color="000000" w:sz="4" w:space="0"/>
              <w:left w:val="single" w:color="000000" w:sz="4" w:space="0"/>
              <w:bottom w:val="single" w:color="000000" w:sz="4" w:space="0"/>
              <w:right w:val="single" w:color="000000" w:sz="4" w:space="0"/>
            </w:tcBorders>
            <w:vAlign w:val="center"/>
          </w:tcPr>
          <w:p w14:paraId="13883109">
            <w:pPr>
              <w:spacing w:after="0" w:line="360" w:lineRule="auto"/>
              <w:jc w:val="center"/>
              <w:rPr>
                <w:rFonts w:hint="eastAsia" w:ascii="宋体" w:hAnsi="宋体" w:cs="宋体"/>
                <w:b/>
                <w:sz w:val="21"/>
                <w:szCs w:val="21"/>
              </w:rPr>
            </w:pPr>
            <w:r>
              <w:rPr>
                <w:rFonts w:hint="eastAsia" w:ascii="宋体" w:hAnsi="宋体" w:cs="宋体"/>
                <w:b/>
                <w:sz w:val="21"/>
                <w:szCs w:val="21"/>
              </w:rPr>
              <w:t>标段</w:t>
            </w:r>
            <w:r>
              <w:rPr>
                <w:rFonts w:hint="eastAsia" w:ascii="宋体" w:hAnsi="宋体" w:cs="宋体"/>
                <w:b/>
                <w:spacing w:val="-2"/>
                <w:sz w:val="21"/>
                <w:szCs w:val="21"/>
              </w:rPr>
              <w:t>内</w:t>
            </w:r>
            <w:r>
              <w:rPr>
                <w:rFonts w:hint="eastAsia" w:ascii="宋体" w:hAnsi="宋体" w:cs="宋体"/>
                <w:b/>
                <w:sz w:val="21"/>
                <w:szCs w:val="21"/>
              </w:rPr>
              <w:t>容</w:t>
            </w:r>
          </w:p>
        </w:tc>
        <w:tc>
          <w:tcPr>
            <w:tcW w:w="1258" w:type="dxa"/>
            <w:tcBorders>
              <w:top w:val="single" w:color="000000" w:sz="4" w:space="0"/>
              <w:left w:val="single" w:color="000000" w:sz="4" w:space="0"/>
              <w:bottom w:val="single" w:color="000000" w:sz="4" w:space="0"/>
              <w:right w:val="single" w:color="000000" w:sz="4" w:space="0"/>
            </w:tcBorders>
            <w:vAlign w:val="center"/>
          </w:tcPr>
          <w:p w14:paraId="6ACDEEF3">
            <w:pPr>
              <w:spacing w:after="0" w:line="360" w:lineRule="auto"/>
              <w:jc w:val="center"/>
              <w:rPr>
                <w:rFonts w:hint="eastAsia" w:ascii="宋体" w:hAnsi="宋体" w:cs="宋体"/>
                <w:b/>
                <w:sz w:val="21"/>
                <w:szCs w:val="21"/>
                <w:lang w:eastAsia="zh-CN"/>
              </w:rPr>
            </w:pPr>
            <w:r>
              <w:rPr>
                <w:rFonts w:hint="eastAsia" w:ascii="宋体" w:hAnsi="宋体" w:cs="宋体"/>
                <w:b/>
                <w:sz w:val="21"/>
                <w:szCs w:val="21"/>
                <w:lang w:eastAsia="zh-CN"/>
              </w:rPr>
              <w:t>施工面积</w:t>
            </w:r>
            <w:r>
              <w:rPr>
                <w:rFonts w:ascii="宋体" w:hAnsi="宋体" w:cs="宋体"/>
                <w:b/>
                <w:spacing w:val="-2"/>
                <w:sz w:val="21"/>
                <w:szCs w:val="21"/>
                <w:lang w:eastAsia="zh-CN"/>
              </w:rPr>
              <w:br w:type="textWrapping"/>
            </w:r>
            <w:r>
              <w:rPr>
                <w:rFonts w:hint="eastAsia" w:ascii="宋体" w:hAnsi="宋体" w:cs="宋体"/>
                <w:b/>
                <w:sz w:val="21"/>
                <w:szCs w:val="21"/>
                <w:lang w:eastAsia="zh-CN"/>
              </w:rPr>
              <w:t>（平</w:t>
            </w:r>
            <w:r>
              <w:rPr>
                <w:rFonts w:hint="eastAsia" w:ascii="宋体" w:hAnsi="宋体" w:cs="宋体"/>
                <w:b/>
                <w:spacing w:val="-2"/>
                <w:sz w:val="21"/>
                <w:szCs w:val="21"/>
                <w:lang w:eastAsia="zh-CN"/>
              </w:rPr>
              <w:t>方</w:t>
            </w:r>
            <w:r>
              <w:rPr>
                <w:rFonts w:hint="eastAsia" w:ascii="宋体" w:hAnsi="宋体" w:cs="宋体"/>
                <w:b/>
                <w:sz w:val="21"/>
                <w:szCs w:val="21"/>
                <w:lang w:eastAsia="zh-CN"/>
              </w:rPr>
              <w:t>米）</w:t>
            </w:r>
          </w:p>
        </w:tc>
        <w:tc>
          <w:tcPr>
            <w:tcW w:w="1307" w:type="dxa"/>
            <w:tcBorders>
              <w:top w:val="single" w:color="000000" w:sz="4" w:space="0"/>
              <w:left w:val="single" w:color="000000" w:sz="4" w:space="0"/>
              <w:bottom w:val="single" w:color="000000" w:sz="4" w:space="0"/>
              <w:right w:val="single" w:color="000000" w:sz="4" w:space="0"/>
            </w:tcBorders>
            <w:vAlign w:val="center"/>
          </w:tcPr>
          <w:p w14:paraId="7954C175">
            <w:pPr>
              <w:spacing w:after="0" w:line="360" w:lineRule="auto"/>
              <w:jc w:val="center"/>
              <w:rPr>
                <w:rFonts w:hint="eastAsia" w:ascii="宋体" w:hAnsi="宋体" w:cs="宋体"/>
                <w:b/>
                <w:sz w:val="21"/>
                <w:szCs w:val="21"/>
                <w:lang w:eastAsia="zh-CN"/>
              </w:rPr>
            </w:pPr>
            <w:r>
              <w:rPr>
                <w:rFonts w:hint="eastAsia" w:ascii="宋体" w:hAnsi="宋体" w:cs="宋体"/>
                <w:b/>
                <w:sz w:val="21"/>
                <w:szCs w:val="21"/>
                <w:lang w:eastAsia="zh-CN"/>
              </w:rPr>
              <w:t>控制价</w:t>
            </w:r>
            <w:r>
              <w:rPr>
                <w:rFonts w:ascii="宋体" w:hAnsi="宋体" w:cs="宋体"/>
                <w:b/>
                <w:sz w:val="21"/>
                <w:szCs w:val="21"/>
                <w:lang w:eastAsia="zh-CN"/>
              </w:rPr>
              <w:br w:type="textWrapping"/>
            </w:r>
            <w:r>
              <w:rPr>
                <w:rFonts w:hint="eastAsia" w:ascii="宋体" w:hAnsi="宋体" w:cs="宋体"/>
                <w:b/>
                <w:sz w:val="21"/>
                <w:szCs w:val="21"/>
                <w:lang w:eastAsia="zh-CN"/>
              </w:rPr>
              <w:t>（万</w:t>
            </w:r>
            <w:r>
              <w:rPr>
                <w:rFonts w:hint="eastAsia" w:ascii="宋体" w:hAnsi="宋体" w:cs="宋体"/>
                <w:b/>
                <w:spacing w:val="-2"/>
                <w:sz w:val="21"/>
                <w:szCs w:val="21"/>
                <w:lang w:eastAsia="zh-CN"/>
              </w:rPr>
              <w:t>元</w:t>
            </w:r>
            <w:r>
              <w:rPr>
                <w:rFonts w:hint="eastAsia" w:ascii="宋体" w:hAnsi="宋体" w:cs="宋体"/>
                <w:b/>
                <w:sz w:val="21"/>
                <w:szCs w:val="21"/>
                <w:lang w:eastAsia="zh-CN"/>
              </w:rPr>
              <w:t>）</w:t>
            </w:r>
          </w:p>
        </w:tc>
        <w:tc>
          <w:tcPr>
            <w:tcW w:w="1577" w:type="dxa"/>
            <w:tcBorders>
              <w:top w:val="single" w:color="000000" w:sz="4" w:space="0"/>
              <w:left w:val="single" w:color="000000" w:sz="4" w:space="0"/>
              <w:bottom w:val="single" w:color="000000" w:sz="4" w:space="0"/>
              <w:right w:val="single" w:color="000000" w:sz="4" w:space="0"/>
            </w:tcBorders>
            <w:vAlign w:val="center"/>
          </w:tcPr>
          <w:p w14:paraId="438E95F9">
            <w:pPr>
              <w:spacing w:after="0" w:line="360" w:lineRule="auto"/>
              <w:jc w:val="center"/>
              <w:rPr>
                <w:rFonts w:hint="eastAsia" w:ascii="宋体" w:hAnsi="宋体" w:cs="宋体"/>
                <w:b/>
                <w:sz w:val="21"/>
                <w:szCs w:val="21"/>
                <w:lang w:eastAsia="zh-CN"/>
              </w:rPr>
            </w:pPr>
            <w:r>
              <w:rPr>
                <w:rFonts w:hint="eastAsia" w:ascii="宋体" w:hAnsi="宋体" w:cs="宋体"/>
                <w:b/>
                <w:sz w:val="21"/>
                <w:szCs w:val="21"/>
                <w:lang w:eastAsia="zh-CN"/>
              </w:rPr>
              <w:t>投标</w:t>
            </w:r>
            <w:r>
              <w:rPr>
                <w:rFonts w:hint="eastAsia" w:ascii="宋体" w:hAnsi="宋体" w:cs="宋体"/>
                <w:b/>
                <w:spacing w:val="-2"/>
                <w:sz w:val="21"/>
                <w:szCs w:val="21"/>
                <w:lang w:eastAsia="zh-CN"/>
              </w:rPr>
              <w:t>人</w:t>
            </w:r>
            <w:r>
              <w:rPr>
                <w:rFonts w:hint="eastAsia" w:ascii="宋体" w:hAnsi="宋体" w:cs="宋体"/>
                <w:b/>
                <w:sz w:val="21"/>
                <w:szCs w:val="21"/>
                <w:lang w:eastAsia="zh-CN"/>
              </w:rPr>
              <w:t>资</w:t>
            </w:r>
            <w:r>
              <w:rPr>
                <w:rFonts w:hint="eastAsia" w:ascii="宋体" w:hAnsi="宋体" w:cs="宋体"/>
                <w:b/>
                <w:spacing w:val="-2"/>
                <w:sz w:val="21"/>
                <w:szCs w:val="21"/>
                <w:lang w:eastAsia="zh-CN"/>
              </w:rPr>
              <w:t>质</w:t>
            </w:r>
            <w:r>
              <w:rPr>
                <w:rFonts w:ascii="宋体" w:hAnsi="宋体" w:cs="宋体"/>
                <w:b/>
                <w:spacing w:val="-2"/>
                <w:sz w:val="21"/>
                <w:szCs w:val="21"/>
                <w:lang w:eastAsia="zh-CN"/>
              </w:rPr>
              <w:br w:type="textWrapping"/>
            </w:r>
            <w:r>
              <w:rPr>
                <w:rFonts w:hint="eastAsia" w:ascii="宋体" w:hAnsi="宋体" w:cs="宋体"/>
                <w:b/>
                <w:sz w:val="21"/>
                <w:szCs w:val="21"/>
                <w:lang w:eastAsia="zh-CN"/>
              </w:rPr>
              <w:t>类</w:t>
            </w:r>
            <w:r>
              <w:rPr>
                <w:rFonts w:hint="eastAsia" w:ascii="宋体" w:hAnsi="宋体" w:cs="宋体"/>
                <w:b/>
                <w:spacing w:val="-2"/>
                <w:sz w:val="21"/>
                <w:szCs w:val="21"/>
                <w:lang w:eastAsia="zh-CN"/>
              </w:rPr>
              <w:t>别</w:t>
            </w:r>
            <w:r>
              <w:rPr>
                <w:rFonts w:hint="eastAsia" w:ascii="宋体" w:hAnsi="宋体" w:cs="宋体"/>
                <w:b/>
                <w:sz w:val="21"/>
                <w:szCs w:val="21"/>
                <w:lang w:eastAsia="zh-CN"/>
              </w:rPr>
              <w:t>、</w:t>
            </w:r>
            <w:r>
              <w:rPr>
                <w:rFonts w:hint="eastAsia" w:ascii="宋体" w:hAnsi="宋体" w:cs="宋体"/>
                <w:b/>
                <w:spacing w:val="-2"/>
                <w:sz w:val="21"/>
                <w:szCs w:val="21"/>
                <w:lang w:eastAsia="zh-CN"/>
              </w:rPr>
              <w:t>等</w:t>
            </w:r>
            <w:r>
              <w:rPr>
                <w:rFonts w:hint="eastAsia" w:ascii="宋体" w:hAnsi="宋体" w:cs="宋体"/>
                <w:b/>
                <w:sz w:val="21"/>
                <w:szCs w:val="21"/>
                <w:lang w:eastAsia="zh-CN"/>
              </w:rPr>
              <w:t>级</w:t>
            </w:r>
          </w:p>
        </w:tc>
        <w:tc>
          <w:tcPr>
            <w:tcW w:w="2894" w:type="dxa"/>
            <w:tcBorders>
              <w:top w:val="single" w:color="000000" w:sz="4" w:space="0"/>
              <w:left w:val="single" w:color="000000" w:sz="4" w:space="0"/>
              <w:bottom w:val="single" w:color="000000" w:sz="4" w:space="0"/>
              <w:right w:val="single" w:color="000000" w:sz="4" w:space="0"/>
            </w:tcBorders>
            <w:vAlign w:val="center"/>
          </w:tcPr>
          <w:p w14:paraId="501C3DA9">
            <w:pPr>
              <w:spacing w:after="0" w:line="360" w:lineRule="auto"/>
              <w:jc w:val="center"/>
              <w:rPr>
                <w:rFonts w:hint="eastAsia" w:ascii="宋体" w:hAnsi="宋体" w:cs="宋体"/>
                <w:b/>
                <w:sz w:val="21"/>
                <w:szCs w:val="21"/>
                <w:lang w:eastAsia="zh-CN"/>
              </w:rPr>
            </w:pPr>
            <w:r>
              <w:rPr>
                <w:rFonts w:hint="eastAsia" w:ascii="宋体" w:hAnsi="宋体" w:cs="宋体"/>
                <w:b/>
                <w:sz w:val="21"/>
                <w:szCs w:val="21"/>
                <w:lang w:eastAsia="zh-CN"/>
              </w:rPr>
              <w:t>项目负责人专业</w:t>
            </w:r>
            <w:r>
              <w:rPr>
                <w:rFonts w:hint="eastAsia" w:ascii="宋体" w:hAnsi="宋体" w:cs="宋体"/>
                <w:b/>
                <w:spacing w:val="-2"/>
                <w:sz w:val="21"/>
                <w:szCs w:val="21"/>
                <w:lang w:eastAsia="zh-CN"/>
              </w:rPr>
              <w:t>、</w:t>
            </w:r>
            <w:r>
              <w:rPr>
                <w:rFonts w:hint="eastAsia" w:ascii="宋体" w:hAnsi="宋体" w:cs="宋体"/>
                <w:b/>
                <w:sz w:val="21"/>
                <w:szCs w:val="21"/>
                <w:lang w:eastAsia="zh-CN"/>
              </w:rPr>
              <w:t>等级</w:t>
            </w:r>
          </w:p>
        </w:tc>
      </w:tr>
      <w:tr w14:paraId="3EBEE004">
        <w:tblPrEx>
          <w:tblCellMar>
            <w:top w:w="0" w:type="dxa"/>
            <w:left w:w="0" w:type="dxa"/>
            <w:bottom w:w="0" w:type="dxa"/>
            <w:right w:w="0" w:type="dxa"/>
          </w:tblCellMar>
        </w:tblPrEx>
        <w:trPr>
          <w:trHeight w:val="3043" w:hRule="exact"/>
        </w:trPr>
        <w:tc>
          <w:tcPr>
            <w:tcW w:w="1153" w:type="dxa"/>
            <w:tcBorders>
              <w:top w:val="single" w:color="000000" w:sz="4" w:space="0"/>
              <w:left w:val="single" w:color="000000" w:sz="4" w:space="0"/>
              <w:bottom w:val="single" w:color="000000" w:sz="4" w:space="0"/>
              <w:right w:val="single" w:color="000000" w:sz="4" w:space="0"/>
            </w:tcBorders>
            <w:vAlign w:val="center"/>
          </w:tcPr>
          <w:p w14:paraId="63477F71">
            <w:pPr>
              <w:spacing w:after="0" w:line="312" w:lineRule="auto"/>
              <w:jc w:val="center"/>
              <w:rPr>
                <w:rFonts w:hint="eastAsia" w:ascii="宋体" w:hAnsi="宋体" w:cs="宋体"/>
                <w:spacing w:val="24"/>
                <w:sz w:val="21"/>
                <w:szCs w:val="21"/>
                <w:lang w:eastAsia="zh-CN"/>
              </w:rPr>
            </w:pPr>
            <w:r>
              <w:rPr>
                <w:rFonts w:hint="eastAsia" w:ascii="宋体" w:hAnsi="宋体" w:cs="宋体"/>
                <w:spacing w:val="24"/>
                <w:sz w:val="21"/>
                <w:szCs w:val="21"/>
                <w:lang w:eastAsia="zh-CN"/>
              </w:rPr>
              <w:t>1</w:t>
            </w:r>
          </w:p>
        </w:tc>
        <w:tc>
          <w:tcPr>
            <w:tcW w:w="1591" w:type="dxa"/>
            <w:tcBorders>
              <w:top w:val="single" w:color="000000" w:sz="4" w:space="0"/>
              <w:left w:val="single" w:color="000000" w:sz="4" w:space="0"/>
              <w:bottom w:val="single" w:color="000000" w:sz="4" w:space="0"/>
              <w:right w:val="single" w:color="000000" w:sz="4" w:space="0"/>
            </w:tcBorders>
            <w:vAlign w:val="center"/>
          </w:tcPr>
          <w:p w14:paraId="48F10F2E">
            <w:pPr>
              <w:spacing w:after="0" w:line="312" w:lineRule="auto"/>
              <w:jc w:val="center"/>
              <w:rPr>
                <w:rFonts w:hint="eastAsia" w:ascii="宋体" w:hAnsi="宋体" w:cs="宋体"/>
                <w:spacing w:val="24"/>
                <w:sz w:val="21"/>
                <w:szCs w:val="21"/>
                <w:lang w:eastAsia="zh-CN"/>
              </w:rPr>
            </w:pPr>
            <w:r>
              <w:rPr>
                <w:rFonts w:hint="eastAsia" w:ascii="宋体" w:hAnsi="宋体" w:cs="宋体"/>
                <w:spacing w:val="-2"/>
                <w:sz w:val="21"/>
                <w:szCs w:val="21"/>
                <w:lang w:eastAsia="zh-CN"/>
              </w:rPr>
              <w:t>武澄西路北侧、永武路东侧（QQ010508-01）地块项目供电施工</w:t>
            </w:r>
          </w:p>
        </w:tc>
        <w:tc>
          <w:tcPr>
            <w:tcW w:w="1258" w:type="dxa"/>
            <w:tcBorders>
              <w:top w:val="single" w:color="000000" w:sz="4" w:space="0"/>
              <w:left w:val="single" w:color="000000" w:sz="4" w:space="0"/>
              <w:bottom w:val="single" w:color="000000" w:sz="4" w:space="0"/>
              <w:right w:val="single" w:color="000000" w:sz="4" w:space="0"/>
            </w:tcBorders>
            <w:vAlign w:val="center"/>
          </w:tcPr>
          <w:p w14:paraId="62E03E96">
            <w:pPr>
              <w:spacing w:after="0" w:line="312" w:lineRule="auto"/>
              <w:jc w:val="center"/>
              <w:rPr>
                <w:rFonts w:hint="eastAsia" w:ascii="宋体" w:hAnsi="宋体" w:cs="宋体"/>
                <w:spacing w:val="24"/>
                <w:sz w:val="21"/>
                <w:szCs w:val="21"/>
                <w:lang w:eastAsia="zh-CN"/>
              </w:rPr>
            </w:pPr>
            <w:r>
              <w:rPr>
                <w:rFonts w:ascii="宋体" w:hAnsi="宋体" w:cs="宋体"/>
                <w:spacing w:val="-2"/>
                <w:sz w:val="21"/>
                <w:szCs w:val="21"/>
                <w:lang w:eastAsia="zh-CN"/>
              </w:rPr>
              <w:t>65191.57</w:t>
            </w:r>
          </w:p>
        </w:tc>
        <w:tc>
          <w:tcPr>
            <w:tcW w:w="1307" w:type="dxa"/>
            <w:tcBorders>
              <w:top w:val="single" w:color="000000" w:sz="4" w:space="0"/>
              <w:left w:val="single" w:color="000000" w:sz="4" w:space="0"/>
              <w:bottom w:val="single" w:color="000000" w:sz="4" w:space="0"/>
              <w:right w:val="single" w:color="000000" w:sz="4" w:space="0"/>
            </w:tcBorders>
            <w:vAlign w:val="center"/>
          </w:tcPr>
          <w:p w14:paraId="4FCDE964">
            <w:pPr>
              <w:widowControl/>
              <w:spacing w:line="312" w:lineRule="auto"/>
              <w:jc w:val="center"/>
              <w:textAlignment w:val="center"/>
              <w:rPr>
                <w:rFonts w:hint="default" w:ascii="宋体" w:hAnsi="宋体" w:cs="宋体"/>
                <w:spacing w:val="24"/>
                <w:sz w:val="21"/>
                <w:szCs w:val="21"/>
                <w:lang w:val="en-US" w:eastAsia="zh-CN"/>
              </w:rPr>
            </w:pPr>
            <w:r>
              <w:rPr>
                <w:rFonts w:hint="eastAsia" w:ascii="宋体" w:hAnsi="宋体" w:cs="宋体"/>
                <w:spacing w:val="24"/>
                <w:sz w:val="21"/>
                <w:szCs w:val="21"/>
                <w:highlight w:val="none"/>
                <w:lang w:eastAsia="zh-CN"/>
              </w:rPr>
              <w:t>1890</w:t>
            </w:r>
            <w:r>
              <w:rPr>
                <w:rFonts w:hint="eastAsia" w:ascii="宋体" w:hAnsi="宋体" w:cs="宋体"/>
                <w:spacing w:val="24"/>
                <w:sz w:val="21"/>
                <w:szCs w:val="21"/>
                <w:highlight w:val="none"/>
                <w:lang w:val="en-US" w:eastAsia="zh-CN"/>
              </w:rPr>
              <w:t>.5</w:t>
            </w:r>
          </w:p>
        </w:tc>
        <w:tc>
          <w:tcPr>
            <w:tcW w:w="1577" w:type="dxa"/>
            <w:tcBorders>
              <w:top w:val="single" w:color="000000" w:sz="4" w:space="0"/>
              <w:left w:val="single" w:color="000000" w:sz="4" w:space="0"/>
              <w:bottom w:val="single" w:color="000000" w:sz="4" w:space="0"/>
              <w:right w:val="single" w:color="000000" w:sz="4" w:space="0"/>
            </w:tcBorders>
            <w:vAlign w:val="center"/>
          </w:tcPr>
          <w:p w14:paraId="297F868F">
            <w:pPr>
              <w:spacing w:after="0" w:line="312" w:lineRule="auto"/>
              <w:jc w:val="center"/>
              <w:rPr>
                <w:rFonts w:hint="eastAsia" w:ascii="宋体" w:hAnsi="宋体" w:cs="宋体"/>
                <w:color w:val="FF0000"/>
                <w:spacing w:val="-2"/>
                <w:sz w:val="21"/>
                <w:szCs w:val="21"/>
                <w:lang w:eastAsia="zh-CN"/>
              </w:rPr>
            </w:pPr>
            <w:r>
              <w:rPr>
                <w:rFonts w:hint="eastAsia" w:ascii="宋体" w:hAnsi="宋体" w:cs="宋体"/>
                <w:color w:val="FF0000"/>
                <w:spacing w:val="-2"/>
                <w:sz w:val="21"/>
                <w:szCs w:val="21"/>
                <w:lang w:eastAsia="zh-CN"/>
              </w:rPr>
              <w:t>电力工程施工总承包三级及以上或输变电工程专业承包三级及以上，且具有承装承修承试电力设施许可证五级及以上资质</w:t>
            </w:r>
          </w:p>
        </w:tc>
        <w:tc>
          <w:tcPr>
            <w:tcW w:w="2894" w:type="dxa"/>
            <w:tcBorders>
              <w:top w:val="single" w:color="000000" w:sz="4" w:space="0"/>
              <w:left w:val="single" w:color="000000" w:sz="4" w:space="0"/>
              <w:bottom w:val="single" w:color="000000" w:sz="4" w:space="0"/>
              <w:right w:val="single" w:color="000000" w:sz="4" w:space="0"/>
            </w:tcBorders>
            <w:vAlign w:val="center"/>
          </w:tcPr>
          <w:p w14:paraId="1C59DEA3">
            <w:pPr>
              <w:spacing w:after="0" w:line="312" w:lineRule="auto"/>
              <w:jc w:val="center"/>
              <w:rPr>
                <w:rFonts w:hint="eastAsia" w:ascii="宋体" w:hAnsi="宋体" w:cs="宋体"/>
                <w:color w:val="FF0000"/>
                <w:spacing w:val="-2"/>
                <w:sz w:val="21"/>
                <w:szCs w:val="21"/>
                <w:lang w:eastAsia="zh-CN"/>
              </w:rPr>
            </w:pPr>
            <w:r>
              <w:rPr>
                <w:rFonts w:hint="eastAsia" w:ascii="宋体" w:hAnsi="宋体" w:cs="宋体"/>
                <w:color w:val="FF0000"/>
                <w:spacing w:val="-2"/>
                <w:sz w:val="21"/>
                <w:szCs w:val="21"/>
                <w:lang w:eastAsia="zh-CN"/>
              </w:rPr>
              <w:t>拟负责本项目的项目负责人须具备机电工程专业壹级建造师注册执业资格证书及有效的安全生产考核合格证（B证），投标人提供为建造师缴纳2025年</w:t>
            </w:r>
            <w:r>
              <w:rPr>
                <w:rFonts w:hint="eastAsia" w:ascii="宋体" w:hAnsi="宋体" w:cs="宋体"/>
                <w:color w:val="FF0000"/>
                <w:spacing w:val="-2"/>
                <w:sz w:val="21"/>
                <w:szCs w:val="21"/>
                <w:lang w:val="en-US" w:eastAsia="zh-CN"/>
              </w:rPr>
              <w:t>10</w:t>
            </w:r>
            <w:r>
              <w:rPr>
                <w:rFonts w:hint="eastAsia" w:ascii="宋体" w:hAnsi="宋体" w:cs="宋体"/>
                <w:color w:val="FF0000"/>
                <w:spacing w:val="-2"/>
                <w:sz w:val="21"/>
                <w:szCs w:val="21"/>
                <w:lang w:eastAsia="zh-CN"/>
              </w:rPr>
              <w:t>月至2025年</w:t>
            </w:r>
            <w:r>
              <w:rPr>
                <w:rFonts w:hint="eastAsia" w:ascii="宋体" w:hAnsi="宋体" w:cs="宋体"/>
                <w:color w:val="FF0000"/>
                <w:spacing w:val="-2"/>
                <w:sz w:val="21"/>
                <w:szCs w:val="21"/>
                <w:lang w:val="en-US" w:eastAsia="zh-CN"/>
              </w:rPr>
              <w:t>12</w:t>
            </w:r>
            <w:r>
              <w:rPr>
                <w:rFonts w:hint="eastAsia" w:ascii="宋体" w:hAnsi="宋体" w:cs="宋体"/>
                <w:color w:val="FF0000"/>
                <w:spacing w:val="-2"/>
                <w:sz w:val="21"/>
                <w:szCs w:val="21"/>
                <w:lang w:eastAsia="zh-CN"/>
              </w:rPr>
              <w:t>月社会基本养老保险的参保缴费证明；</w:t>
            </w:r>
          </w:p>
        </w:tc>
      </w:tr>
    </w:tbl>
    <w:p w14:paraId="3BA4DA43">
      <w:pPr>
        <w:spacing w:after="0" w:line="360" w:lineRule="auto"/>
        <w:ind w:firstLine="480" w:firstLineChars="200"/>
        <w:jc w:val="both"/>
        <w:rPr>
          <w:rFonts w:hint="eastAsia" w:ascii="宋体" w:hAnsi="宋体" w:cs="宋体"/>
          <w:sz w:val="24"/>
          <w:szCs w:val="24"/>
          <w:lang w:eastAsia="zh-CN"/>
        </w:rPr>
      </w:pPr>
      <w:r>
        <w:rPr>
          <w:rFonts w:hint="eastAsia" w:ascii="宋体" w:hAnsi="宋体" w:cs="宋体"/>
          <w:position w:val="-2"/>
          <w:sz w:val="24"/>
          <w:szCs w:val="24"/>
          <w:lang w:eastAsia="zh-CN"/>
        </w:rPr>
        <w:t>注：本次</w:t>
      </w:r>
      <w:r>
        <w:rPr>
          <w:rFonts w:hint="eastAsia" w:ascii="宋体" w:hAnsi="宋体" w:cs="宋体"/>
          <w:spacing w:val="-2"/>
          <w:position w:val="-2"/>
          <w:sz w:val="24"/>
          <w:szCs w:val="24"/>
          <w:lang w:eastAsia="zh-CN"/>
        </w:rPr>
        <w:t>招</w:t>
      </w:r>
      <w:r>
        <w:rPr>
          <w:rFonts w:hint="eastAsia" w:ascii="宋体" w:hAnsi="宋体" w:cs="宋体"/>
          <w:position w:val="-2"/>
          <w:sz w:val="24"/>
          <w:szCs w:val="24"/>
          <w:lang w:eastAsia="zh-CN"/>
        </w:rPr>
        <w:t>标</w:t>
      </w:r>
      <w:r>
        <w:rPr>
          <w:rFonts w:hint="eastAsia" w:ascii="宋体" w:hAnsi="宋体" w:cs="宋体"/>
          <w:spacing w:val="-2"/>
          <w:position w:val="-2"/>
          <w:sz w:val="24"/>
          <w:szCs w:val="24"/>
          <w:lang w:eastAsia="zh-CN"/>
        </w:rPr>
        <w:t>不</w:t>
      </w:r>
      <w:r>
        <w:rPr>
          <w:rFonts w:hint="eastAsia" w:ascii="宋体" w:hAnsi="宋体" w:cs="宋体"/>
          <w:position w:val="-2"/>
          <w:sz w:val="24"/>
          <w:szCs w:val="24"/>
          <w:lang w:eastAsia="zh-CN"/>
        </w:rPr>
        <w:t>接</w:t>
      </w:r>
      <w:r>
        <w:rPr>
          <w:rFonts w:hint="eastAsia" w:ascii="宋体" w:hAnsi="宋体" w:cs="宋体"/>
          <w:spacing w:val="-2"/>
          <w:position w:val="-2"/>
          <w:sz w:val="24"/>
          <w:szCs w:val="24"/>
          <w:lang w:eastAsia="zh-CN"/>
        </w:rPr>
        <w:t>受</w:t>
      </w:r>
      <w:r>
        <w:rPr>
          <w:rFonts w:hint="eastAsia" w:ascii="宋体" w:hAnsi="宋体" w:cs="宋体"/>
          <w:position w:val="-2"/>
          <w:sz w:val="24"/>
          <w:szCs w:val="24"/>
          <w:lang w:eastAsia="zh-CN"/>
        </w:rPr>
        <w:t>联</w:t>
      </w:r>
      <w:r>
        <w:rPr>
          <w:rFonts w:hint="eastAsia" w:ascii="宋体" w:hAnsi="宋体" w:cs="宋体"/>
          <w:spacing w:val="-2"/>
          <w:position w:val="-2"/>
          <w:sz w:val="24"/>
          <w:szCs w:val="24"/>
          <w:lang w:eastAsia="zh-CN"/>
        </w:rPr>
        <w:t>合</w:t>
      </w:r>
      <w:r>
        <w:rPr>
          <w:rFonts w:hint="eastAsia" w:ascii="宋体" w:hAnsi="宋体" w:cs="宋体"/>
          <w:position w:val="-2"/>
          <w:sz w:val="24"/>
          <w:szCs w:val="24"/>
          <w:lang w:eastAsia="zh-CN"/>
        </w:rPr>
        <w:t>体</w:t>
      </w:r>
      <w:r>
        <w:rPr>
          <w:rFonts w:hint="eastAsia" w:ascii="宋体" w:hAnsi="宋体" w:cs="宋体"/>
          <w:spacing w:val="-2"/>
          <w:position w:val="-2"/>
          <w:sz w:val="24"/>
          <w:szCs w:val="24"/>
          <w:lang w:eastAsia="zh-CN"/>
        </w:rPr>
        <w:t>投</w:t>
      </w:r>
      <w:r>
        <w:rPr>
          <w:rFonts w:hint="eastAsia" w:ascii="宋体" w:hAnsi="宋体" w:cs="宋体"/>
          <w:position w:val="-2"/>
          <w:sz w:val="24"/>
          <w:szCs w:val="24"/>
          <w:lang w:eastAsia="zh-CN"/>
        </w:rPr>
        <w:t>标。</w:t>
      </w:r>
    </w:p>
    <w:p w14:paraId="3E5609E4">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四、招标文件的获取</w:t>
      </w:r>
    </w:p>
    <w:p w14:paraId="285593BB">
      <w:pPr>
        <w:spacing w:after="0" w:line="360" w:lineRule="auto"/>
        <w:ind w:firstLine="480" w:firstLineChars="200"/>
        <w:jc w:val="both"/>
        <w:rPr>
          <w:rFonts w:hint="eastAsia" w:ascii="宋体" w:hAnsi="宋体"/>
          <w:sz w:val="24"/>
          <w:lang w:eastAsia="zh-CN"/>
        </w:rPr>
      </w:pPr>
      <w:r>
        <w:rPr>
          <w:rFonts w:hint="eastAsia" w:ascii="宋体" w:hAnsi="宋体"/>
          <w:sz w:val="24"/>
          <w:lang w:eastAsia="zh-CN"/>
        </w:rPr>
        <w:t>1、时间：2025年</w:t>
      </w:r>
      <w:r>
        <w:rPr>
          <w:rFonts w:hint="eastAsia" w:ascii="宋体" w:hAnsi="宋体"/>
          <w:sz w:val="24"/>
          <w:lang w:val="en-US" w:eastAsia="zh-CN"/>
        </w:rPr>
        <w:t>12</w:t>
      </w:r>
      <w:r>
        <w:rPr>
          <w:rFonts w:hint="eastAsia" w:ascii="宋体" w:hAnsi="宋体"/>
          <w:sz w:val="24"/>
          <w:lang w:eastAsia="zh-CN"/>
        </w:rPr>
        <w:t>月</w:t>
      </w:r>
      <w:r>
        <w:rPr>
          <w:rFonts w:hint="eastAsia" w:ascii="宋体" w:hAnsi="宋体"/>
          <w:sz w:val="24"/>
          <w:lang w:val="en-US" w:eastAsia="zh-CN"/>
        </w:rPr>
        <w:t>26</w:t>
      </w:r>
      <w:r>
        <w:rPr>
          <w:rFonts w:hint="eastAsia" w:ascii="宋体" w:hAnsi="宋体"/>
          <w:sz w:val="24"/>
          <w:lang w:eastAsia="zh-CN"/>
        </w:rPr>
        <w:t>日至2025年</w:t>
      </w:r>
      <w:r>
        <w:rPr>
          <w:rFonts w:hint="eastAsia" w:ascii="宋体" w:hAnsi="宋体"/>
          <w:sz w:val="24"/>
          <w:lang w:val="en-US" w:eastAsia="zh-CN"/>
        </w:rPr>
        <w:t>12</w:t>
      </w:r>
      <w:r>
        <w:rPr>
          <w:rFonts w:hint="eastAsia" w:ascii="宋体" w:hAnsi="宋体"/>
          <w:sz w:val="24"/>
          <w:lang w:eastAsia="zh-CN"/>
        </w:rPr>
        <w:t>月</w:t>
      </w:r>
      <w:r>
        <w:rPr>
          <w:rFonts w:hint="eastAsia" w:ascii="宋体" w:hAnsi="宋体"/>
          <w:sz w:val="24"/>
          <w:lang w:val="en-US" w:eastAsia="zh-CN"/>
        </w:rPr>
        <w:t>30</w:t>
      </w:r>
      <w:r>
        <w:rPr>
          <w:rFonts w:hint="eastAsia" w:ascii="宋体" w:hAnsi="宋体"/>
          <w:sz w:val="24"/>
          <w:lang w:eastAsia="zh-CN"/>
        </w:rPr>
        <w:t>日，每天上午08：30至11：30，下午13：30至17：00（北京时间，法定节假日除外）</w:t>
      </w:r>
    </w:p>
    <w:p w14:paraId="76114858">
      <w:pPr>
        <w:spacing w:after="0" w:line="360" w:lineRule="auto"/>
        <w:ind w:firstLine="480" w:firstLineChars="200"/>
        <w:jc w:val="both"/>
        <w:rPr>
          <w:rFonts w:hint="eastAsia" w:ascii="宋体" w:hAnsi="宋体"/>
          <w:sz w:val="24"/>
          <w:lang w:eastAsia="zh-CN"/>
        </w:rPr>
      </w:pPr>
      <w:r>
        <w:rPr>
          <w:rFonts w:hint="eastAsia" w:ascii="宋体" w:hAnsi="宋体"/>
          <w:sz w:val="24"/>
          <w:lang w:eastAsia="zh-CN"/>
        </w:rPr>
        <w:t xml:space="preserve">2、报名地点：常州中瑞工程造价咨询有限公司（常州市新北区友邦商务大厦A座13楼） </w:t>
      </w:r>
    </w:p>
    <w:p w14:paraId="101148E4">
      <w:pPr>
        <w:spacing w:after="0" w:line="360" w:lineRule="auto"/>
        <w:ind w:firstLine="480" w:firstLineChars="200"/>
        <w:jc w:val="both"/>
        <w:rPr>
          <w:rFonts w:hint="eastAsia" w:ascii="宋体" w:hAnsi="宋体"/>
          <w:sz w:val="24"/>
          <w:lang w:eastAsia="zh-CN"/>
        </w:rPr>
      </w:pPr>
      <w:r>
        <w:rPr>
          <w:rFonts w:hint="eastAsia" w:ascii="宋体" w:hAnsi="宋体"/>
          <w:sz w:val="24"/>
          <w:lang w:eastAsia="zh-CN"/>
        </w:rPr>
        <w:t>3、售价：人民币伍佰元整</w:t>
      </w:r>
    </w:p>
    <w:p w14:paraId="3D20D4FD">
      <w:pPr>
        <w:spacing w:after="0" w:line="360" w:lineRule="auto"/>
        <w:ind w:firstLine="480" w:firstLineChars="200"/>
        <w:jc w:val="both"/>
        <w:rPr>
          <w:rFonts w:ascii="宋体" w:hAnsi="宋体"/>
          <w:sz w:val="24"/>
          <w:lang w:eastAsia="zh-CN"/>
        </w:rPr>
      </w:pPr>
      <w:r>
        <w:rPr>
          <w:rFonts w:hint="eastAsia" w:ascii="宋体" w:hAnsi="宋体"/>
          <w:sz w:val="24"/>
          <w:lang w:eastAsia="zh-CN"/>
        </w:rPr>
        <w:t>4、报名时提交盖章签字的《投标报名申请表》详见附四。</w:t>
      </w:r>
    </w:p>
    <w:p w14:paraId="463F39B5">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五、公告发布</w:t>
      </w:r>
    </w:p>
    <w:p w14:paraId="0295BC89">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本公告发布媒体为：</w:t>
      </w:r>
      <w:r>
        <w:rPr>
          <w:rFonts w:hint="eastAsia" w:ascii="宋体" w:hAnsi="宋体"/>
          <w:sz w:val="24"/>
          <w:szCs w:val="24"/>
          <w:lang w:eastAsia="zh-CN"/>
        </w:rPr>
        <w:t>江苏省招标投标公共服务平台</w:t>
      </w:r>
      <w:r>
        <w:rPr>
          <w:rFonts w:ascii="宋体" w:hAnsi="宋体" w:cs="宋体"/>
          <w:spacing w:val="-2"/>
          <w:sz w:val="24"/>
          <w:szCs w:val="24"/>
          <w:lang w:eastAsia="zh-CN"/>
        </w:rPr>
        <w:t>www.jszbtb.com</w:t>
      </w:r>
      <w:r>
        <w:rPr>
          <w:rFonts w:hint="eastAsia" w:ascii="宋体" w:hAnsi="宋体" w:cs="宋体"/>
          <w:spacing w:val="-2"/>
          <w:sz w:val="24"/>
          <w:szCs w:val="24"/>
          <w:lang w:eastAsia="zh-CN"/>
        </w:rPr>
        <w:t>、常州中瑞工程造价咨询有限公司网站</w:t>
      </w:r>
      <w:r>
        <w:rPr>
          <w:rFonts w:ascii="宋体" w:hAnsi="宋体" w:cs="宋体"/>
          <w:spacing w:val="-2"/>
          <w:sz w:val="24"/>
          <w:szCs w:val="24"/>
          <w:lang w:eastAsia="zh-CN"/>
        </w:rPr>
        <w:t>www.zhongruizx.com/</w:t>
      </w:r>
      <w:r>
        <w:rPr>
          <w:rFonts w:hint="eastAsia" w:ascii="宋体" w:hAnsi="宋体" w:cs="宋体"/>
          <w:spacing w:val="-2"/>
          <w:sz w:val="24"/>
          <w:szCs w:val="24"/>
          <w:lang w:eastAsia="zh-CN"/>
        </w:rPr>
        <w:t>。</w:t>
      </w:r>
    </w:p>
    <w:p w14:paraId="456E76D6">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本公告发布时间为</w:t>
      </w:r>
      <w:r>
        <w:rPr>
          <w:rFonts w:hint="eastAsia" w:ascii="宋体" w:hAnsi="宋体" w:cs="宋体"/>
          <w:color w:val="auto"/>
          <w:spacing w:val="-2"/>
          <w:sz w:val="24"/>
          <w:szCs w:val="24"/>
          <w:lang w:eastAsia="zh-CN"/>
        </w:rPr>
        <w:t>：</w:t>
      </w:r>
      <w:r>
        <w:rPr>
          <w:rFonts w:hint="eastAsia" w:ascii="宋体" w:hAnsi="宋体"/>
          <w:color w:val="auto"/>
          <w:sz w:val="24"/>
          <w:lang w:eastAsia="zh-CN"/>
        </w:rPr>
        <w:t>2025年</w:t>
      </w:r>
      <w:r>
        <w:rPr>
          <w:rFonts w:hint="eastAsia" w:ascii="宋体" w:hAnsi="宋体"/>
          <w:color w:val="auto"/>
          <w:sz w:val="24"/>
          <w:lang w:val="en-US" w:eastAsia="zh-CN"/>
        </w:rPr>
        <w:t>12</w:t>
      </w:r>
      <w:r>
        <w:rPr>
          <w:rFonts w:hint="eastAsia" w:ascii="宋体" w:hAnsi="宋体"/>
          <w:color w:val="auto"/>
          <w:sz w:val="24"/>
          <w:lang w:eastAsia="zh-CN"/>
        </w:rPr>
        <w:t>月</w:t>
      </w:r>
      <w:r>
        <w:rPr>
          <w:rFonts w:hint="eastAsia" w:ascii="宋体" w:hAnsi="宋体"/>
          <w:color w:val="auto"/>
          <w:sz w:val="24"/>
          <w:lang w:val="en-US" w:eastAsia="zh-CN"/>
        </w:rPr>
        <w:t>26</w:t>
      </w:r>
      <w:r>
        <w:rPr>
          <w:rFonts w:hint="eastAsia" w:ascii="宋体" w:hAnsi="宋体"/>
          <w:color w:val="auto"/>
          <w:sz w:val="24"/>
          <w:lang w:eastAsia="zh-CN"/>
        </w:rPr>
        <w:t>日</w:t>
      </w:r>
      <w:r>
        <w:rPr>
          <w:rFonts w:ascii="宋体" w:hAnsi="宋体" w:cs="宋体"/>
          <w:color w:val="auto"/>
          <w:spacing w:val="-2"/>
          <w:sz w:val="24"/>
          <w:szCs w:val="24"/>
          <w:lang w:eastAsia="zh-CN"/>
        </w:rPr>
        <w:t>至</w:t>
      </w:r>
      <w:r>
        <w:rPr>
          <w:rFonts w:hint="eastAsia" w:ascii="宋体" w:hAnsi="宋体"/>
          <w:color w:val="auto"/>
          <w:sz w:val="24"/>
          <w:lang w:eastAsia="zh-CN"/>
        </w:rPr>
        <w:t>2025年</w:t>
      </w:r>
      <w:r>
        <w:rPr>
          <w:rFonts w:hint="eastAsia" w:ascii="宋体" w:hAnsi="宋体"/>
          <w:color w:val="auto"/>
          <w:sz w:val="24"/>
          <w:lang w:val="en-US" w:eastAsia="zh-CN"/>
        </w:rPr>
        <w:t>12</w:t>
      </w:r>
      <w:r>
        <w:rPr>
          <w:rFonts w:hint="eastAsia" w:ascii="宋体" w:hAnsi="宋体"/>
          <w:color w:val="auto"/>
          <w:sz w:val="24"/>
          <w:lang w:eastAsia="zh-CN"/>
        </w:rPr>
        <w:t>月</w:t>
      </w:r>
      <w:r>
        <w:rPr>
          <w:rFonts w:hint="eastAsia" w:ascii="宋体" w:hAnsi="宋体"/>
          <w:color w:val="auto"/>
          <w:sz w:val="24"/>
          <w:lang w:val="en-US" w:eastAsia="zh-CN"/>
        </w:rPr>
        <w:t>30</w:t>
      </w:r>
      <w:r>
        <w:rPr>
          <w:rFonts w:hint="eastAsia" w:ascii="宋体" w:hAnsi="宋体"/>
          <w:color w:val="auto"/>
          <w:sz w:val="24"/>
          <w:lang w:eastAsia="zh-CN"/>
        </w:rPr>
        <w:t xml:space="preserve"> 日</w:t>
      </w:r>
      <w:r>
        <w:rPr>
          <w:rFonts w:hint="eastAsia" w:ascii="宋体" w:hAnsi="宋体" w:cs="宋体"/>
          <w:color w:val="auto"/>
          <w:spacing w:val="-2"/>
          <w:sz w:val="24"/>
          <w:szCs w:val="24"/>
          <w:lang w:eastAsia="zh-CN"/>
        </w:rPr>
        <w:t>。</w:t>
      </w:r>
    </w:p>
    <w:p w14:paraId="39D1C9E2">
      <w:pPr>
        <w:spacing w:after="0" w:line="360" w:lineRule="auto"/>
        <w:ind w:firstLine="472" w:firstLineChars="200"/>
        <w:jc w:val="both"/>
        <w:rPr>
          <w:rFonts w:hint="eastAsia" w:ascii="宋体" w:hAnsi="宋体" w:cs="宋体"/>
          <w:spacing w:val="-2"/>
          <w:sz w:val="24"/>
          <w:szCs w:val="24"/>
          <w:lang w:eastAsia="zh-CN"/>
        </w:rPr>
      </w:pPr>
      <w:r>
        <w:rPr>
          <w:rFonts w:hint="eastAsia" w:ascii="宋体" w:hAnsi="宋体" w:cs="宋体"/>
          <w:spacing w:val="-2"/>
          <w:sz w:val="24"/>
          <w:szCs w:val="24"/>
          <w:lang w:eastAsia="zh-CN"/>
        </w:rPr>
        <w:t>本项目资格审查办法：见附件。</w:t>
      </w:r>
    </w:p>
    <w:p w14:paraId="403AC149">
      <w:pPr>
        <w:spacing w:after="0" w:line="360" w:lineRule="auto"/>
        <w:ind w:firstLine="480" w:firstLineChars="200"/>
        <w:jc w:val="both"/>
        <w:rPr>
          <w:rFonts w:hint="eastAsia" w:ascii="宋体" w:hAnsi="宋体" w:cs="宋体"/>
          <w:position w:val="-3"/>
          <w:sz w:val="24"/>
          <w:szCs w:val="24"/>
          <w:lang w:eastAsia="zh-CN"/>
        </w:rPr>
      </w:pPr>
      <w:r>
        <w:rPr>
          <w:rFonts w:hint="eastAsia" w:ascii="宋体" w:hAnsi="宋体" w:cs="宋体"/>
          <w:position w:val="-3"/>
          <w:sz w:val="24"/>
          <w:szCs w:val="24"/>
          <w:lang w:eastAsia="zh-CN"/>
        </w:rPr>
        <w:t>本项</w:t>
      </w:r>
      <w:r>
        <w:rPr>
          <w:rFonts w:hint="eastAsia" w:ascii="宋体" w:hAnsi="宋体" w:cs="宋体"/>
          <w:spacing w:val="-2"/>
          <w:position w:val="-3"/>
          <w:sz w:val="24"/>
          <w:szCs w:val="24"/>
          <w:lang w:eastAsia="zh-CN"/>
        </w:rPr>
        <w:t>目</w:t>
      </w:r>
      <w:r>
        <w:rPr>
          <w:rFonts w:hint="eastAsia" w:ascii="宋体" w:hAnsi="宋体" w:cs="宋体"/>
          <w:position w:val="-3"/>
          <w:sz w:val="24"/>
          <w:szCs w:val="24"/>
          <w:lang w:eastAsia="zh-CN"/>
        </w:rPr>
        <w:t>评</w:t>
      </w:r>
      <w:r>
        <w:rPr>
          <w:rFonts w:hint="eastAsia" w:ascii="宋体" w:hAnsi="宋体" w:cs="宋体"/>
          <w:spacing w:val="-2"/>
          <w:position w:val="-3"/>
          <w:sz w:val="24"/>
          <w:szCs w:val="24"/>
          <w:lang w:eastAsia="zh-CN"/>
        </w:rPr>
        <w:t>标</w:t>
      </w:r>
      <w:r>
        <w:rPr>
          <w:rFonts w:hint="eastAsia" w:ascii="宋体" w:hAnsi="宋体" w:cs="宋体"/>
          <w:position w:val="-3"/>
          <w:sz w:val="24"/>
          <w:szCs w:val="24"/>
          <w:lang w:eastAsia="zh-CN"/>
        </w:rPr>
        <w:t>细</w:t>
      </w:r>
      <w:r>
        <w:rPr>
          <w:rFonts w:hint="eastAsia" w:ascii="宋体" w:hAnsi="宋体" w:cs="宋体"/>
          <w:spacing w:val="-2"/>
          <w:position w:val="-3"/>
          <w:sz w:val="24"/>
          <w:szCs w:val="24"/>
          <w:lang w:eastAsia="zh-CN"/>
        </w:rPr>
        <w:t>则</w:t>
      </w:r>
      <w:r>
        <w:rPr>
          <w:rFonts w:hint="eastAsia" w:ascii="宋体" w:hAnsi="宋体" w:cs="宋体"/>
          <w:position w:val="-3"/>
          <w:sz w:val="24"/>
          <w:szCs w:val="24"/>
          <w:lang w:eastAsia="zh-CN"/>
        </w:rPr>
        <w:t>：</w:t>
      </w:r>
      <w:r>
        <w:rPr>
          <w:rFonts w:hint="eastAsia" w:ascii="宋体" w:hAnsi="宋体" w:cs="宋体"/>
          <w:spacing w:val="-2"/>
          <w:position w:val="-3"/>
          <w:sz w:val="24"/>
          <w:szCs w:val="24"/>
          <w:lang w:eastAsia="zh-CN"/>
        </w:rPr>
        <w:t>见</w:t>
      </w:r>
      <w:r>
        <w:rPr>
          <w:rFonts w:hint="eastAsia" w:ascii="宋体" w:hAnsi="宋体" w:cs="宋体"/>
          <w:position w:val="-3"/>
          <w:sz w:val="24"/>
          <w:szCs w:val="24"/>
          <w:lang w:eastAsia="zh-CN"/>
        </w:rPr>
        <w:t>附件。</w:t>
      </w:r>
    </w:p>
    <w:p w14:paraId="2915F3B9">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六、投标人答疑</w:t>
      </w:r>
    </w:p>
    <w:p w14:paraId="30DCC511">
      <w:pPr>
        <w:spacing w:after="0" w:line="360" w:lineRule="auto"/>
        <w:ind w:firstLine="480" w:firstLineChars="200"/>
        <w:jc w:val="both"/>
        <w:rPr>
          <w:rFonts w:ascii="宋体" w:hAnsi="宋体" w:cs="宋体"/>
          <w:sz w:val="24"/>
          <w:szCs w:val="24"/>
          <w:lang w:eastAsia="zh-CN"/>
        </w:rPr>
      </w:pPr>
      <w:r>
        <w:rPr>
          <w:rFonts w:hint="eastAsia" w:ascii="宋体" w:hAnsi="宋体" w:cs="宋体"/>
          <w:sz w:val="24"/>
          <w:szCs w:val="24"/>
          <w:lang w:eastAsia="zh-CN"/>
        </w:rPr>
        <w:t>投标人答疑截止时间：投标人对招标文件如有疑问，请将疑问于报名截止时间前常州中瑞工程造价咨询有限公司提出。</w:t>
      </w:r>
    </w:p>
    <w:p w14:paraId="40DC6011">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七、投标保证金说明</w:t>
      </w:r>
    </w:p>
    <w:p w14:paraId="615E51DA">
      <w:pPr>
        <w:spacing w:after="0" w:line="360" w:lineRule="auto"/>
        <w:ind w:firstLine="480" w:firstLineChars="200"/>
        <w:jc w:val="both"/>
        <w:rPr>
          <w:rFonts w:hint="eastAsia" w:ascii="宋体" w:hAnsi="宋体" w:cs="宋体"/>
          <w:color w:val="auto"/>
          <w:sz w:val="24"/>
          <w:szCs w:val="24"/>
          <w:lang w:eastAsia="zh-CN"/>
        </w:rPr>
      </w:pPr>
      <w:r>
        <w:rPr>
          <w:rFonts w:hint="eastAsia" w:ascii="宋体" w:hAnsi="宋体" w:cs="宋体"/>
          <w:sz w:val="24"/>
          <w:szCs w:val="24"/>
          <w:lang w:eastAsia="zh-CN"/>
        </w:rPr>
        <w:t>投标</w:t>
      </w:r>
      <w:r>
        <w:rPr>
          <w:rFonts w:hint="eastAsia" w:ascii="宋体" w:hAnsi="宋体" w:cs="宋体"/>
          <w:color w:val="auto"/>
          <w:sz w:val="24"/>
          <w:szCs w:val="24"/>
          <w:lang w:eastAsia="zh-CN"/>
        </w:rPr>
        <w:t>保证金说明：</w:t>
      </w:r>
      <w:r>
        <w:rPr>
          <w:rFonts w:hint="eastAsia" w:ascii="宋体" w:hAnsi="宋体" w:cs="宋体"/>
          <w:color w:val="auto"/>
          <w:spacing w:val="-2"/>
          <w:position w:val="-3"/>
          <w:sz w:val="24"/>
          <w:szCs w:val="24"/>
          <w:lang w:eastAsia="zh-CN"/>
        </w:rPr>
        <w:t>见</w:t>
      </w:r>
      <w:r>
        <w:rPr>
          <w:rFonts w:hint="eastAsia" w:ascii="宋体" w:hAnsi="宋体" w:cs="宋体"/>
          <w:color w:val="auto"/>
          <w:position w:val="-3"/>
          <w:sz w:val="24"/>
          <w:szCs w:val="24"/>
          <w:lang w:eastAsia="zh-CN"/>
        </w:rPr>
        <w:t>附件。</w:t>
      </w:r>
    </w:p>
    <w:p w14:paraId="7A7704B0">
      <w:pPr>
        <w:spacing w:after="0" w:line="360" w:lineRule="auto"/>
        <w:ind w:firstLine="482" w:firstLineChars="200"/>
        <w:jc w:val="both"/>
        <w:rPr>
          <w:rFonts w:hint="eastAsia" w:ascii="黑体" w:hAnsi="黑体" w:eastAsia="黑体" w:cs="宋体"/>
          <w:b/>
          <w:color w:val="auto"/>
          <w:sz w:val="24"/>
          <w:szCs w:val="24"/>
          <w:lang w:eastAsia="zh-CN"/>
        </w:rPr>
      </w:pPr>
      <w:r>
        <w:rPr>
          <w:rFonts w:hint="eastAsia" w:ascii="黑体" w:hAnsi="黑体" w:eastAsia="黑体" w:cs="宋体"/>
          <w:b/>
          <w:color w:val="auto"/>
          <w:sz w:val="24"/>
          <w:szCs w:val="24"/>
          <w:lang w:eastAsia="zh-CN"/>
        </w:rPr>
        <w:t>八、开标时间和地点</w:t>
      </w:r>
    </w:p>
    <w:p w14:paraId="42FBD4BD">
      <w:pPr>
        <w:spacing w:after="0" w:line="360" w:lineRule="auto"/>
        <w:ind w:firstLine="480" w:firstLineChars="200"/>
        <w:jc w:val="both"/>
        <w:rPr>
          <w:rFonts w:hint="eastAsia" w:ascii="宋体" w:hAnsi="宋体"/>
          <w:color w:val="auto"/>
          <w:sz w:val="24"/>
          <w:szCs w:val="24"/>
          <w:lang w:eastAsia="zh-CN"/>
        </w:rPr>
      </w:pPr>
      <w:r>
        <w:rPr>
          <w:rFonts w:hint="eastAsia" w:ascii="宋体" w:hAnsi="宋体"/>
          <w:color w:val="auto"/>
          <w:sz w:val="24"/>
          <w:szCs w:val="24"/>
          <w:lang w:eastAsia="zh-CN"/>
        </w:rPr>
        <w:t>开标时间：202</w:t>
      </w:r>
      <w:r>
        <w:rPr>
          <w:rFonts w:hint="eastAsia" w:ascii="宋体" w:hAnsi="宋体"/>
          <w:color w:val="auto"/>
          <w:sz w:val="24"/>
          <w:szCs w:val="24"/>
          <w:lang w:val="en-US" w:eastAsia="zh-CN"/>
        </w:rPr>
        <w:t>6</w:t>
      </w:r>
      <w:r>
        <w:rPr>
          <w:rFonts w:hint="eastAsia" w:ascii="宋体" w:hAnsi="宋体"/>
          <w:color w:val="auto"/>
          <w:sz w:val="24"/>
          <w:szCs w:val="24"/>
          <w:lang w:eastAsia="zh-CN"/>
        </w:rPr>
        <w:t>年</w:t>
      </w:r>
      <w:r>
        <w:rPr>
          <w:rFonts w:hint="eastAsia" w:ascii="宋体" w:hAnsi="宋体"/>
          <w:color w:val="auto"/>
          <w:sz w:val="24"/>
          <w:szCs w:val="24"/>
          <w:lang w:val="en-US" w:eastAsia="zh-CN"/>
        </w:rPr>
        <w:t>1</w:t>
      </w:r>
      <w:r>
        <w:rPr>
          <w:rFonts w:hint="eastAsia" w:ascii="宋体" w:hAnsi="宋体"/>
          <w:color w:val="auto"/>
          <w:sz w:val="24"/>
          <w:szCs w:val="24"/>
          <w:lang w:eastAsia="zh-CN"/>
        </w:rPr>
        <w:t>月</w:t>
      </w:r>
      <w:r>
        <w:rPr>
          <w:rFonts w:hint="eastAsia" w:ascii="宋体" w:hAnsi="宋体"/>
          <w:color w:val="auto"/>
          <w:sz w:val="24"/>
          <w:szCs w:val="24"/>
          <w:lang w:val="en-US" w:eastAsia="zh-CN"/>
        </w:rPr>
        <w:t>19</w:t>
      </w:r>
      <w:r>
        <w:rPr>
          <w:rFonts w:hint="eastAsia" w:ascii="宋体" w:hAnsi="宋体"/>
          <w:color w:val="auto"/>
          <w:sz w:val="24"/>
          <w:szCs w:val="24"/>
          <w:lang w:eastAsia="zh-CN"/>
        </w:rPr>
        <w:t>日14:00（北京时间）。</w:t>
      </w:r>
    </w:p>
    <w:p w14:paraId="521D39CA">
      <w:pPr>
        <w:spacing w:after="0" w:line="360" w:lineRule="auto"/>
        <w:ind w:firstLine="480" w:firstLineChars="200"/>
        <w:jc w:val="both"/>
        <w:rPr>
          <w:rFonts w:hint="eastAsia" w:ascii="宋体" w:hAnsi="宋体"/>
          <w:color w:val="auto"/>
          <w:sz w:val="24"/>
          <w:szCs w:val="24"/>
          <w:lang w:eastAsia="zh-CN"/>
        </w:rPr>
      </w:pPr>
      <w:r>
        <w:rPr>
          <w:rFonts w:hint="eastAsia" w:ascii="宋体" w:hAnsi="宋体"/>
          <w:color w:val="auto"/>
          <w:sz w:val="24"/>
          <w:szCs w:val="24"/>
          <w:lang w:eastAsia="zh-CN"/>
        </w:rPr>
        <w:t>开标地点：常州中瑞工程造价咨询有限公司开标会议室。</w:t>
      </w:r>
    </w:p>
    <w:p w14:paraId="463EE023">
      <w:pPr>
        <w:spacing w:after="0" w:line="360" w:lineRule="auto"/>
        <w:ind w:firstLine="480" w:firstLineChars="200"/>
        <w:jc w:val="both"/>
        <w:rPr>
          <w:rFonts w:hint="eastAsia" w:ascii="宋体" w:hAnsi="宋体"/>
          <w:color w:val="auto"/>
          <w:sz w:val="24"/>
          <w:szCs w:val="24"/>
          <w:lang w:eastAsia="zh-CN"/>
        </w:rPr>
      </w:pPr>
      <w:r>
        <w:rPr>
          <w:rFonts w:hint="eastAsia" w:ascii="宋体" w:hAnsi="宋体"/>
          <w:color w:val="auto"/>
          <w:sz w:val="24"/>
          <w:szCs w:val="24"/>
          <w:lang w:eastAsia="zh-CN"/>
        </w:rPr>
        <w:t>投标授权委托人须携带本人第二代身份证原件于投标截止时间前到达开标现场，签到并递交书面纸质投标资料。</w:t>
      </w:r>
    </w:p>
    <w:p w14:paraId="75296BD0">
      <w:pPr>
        <w:spacing w:after="0" w:line="360" w:lineRule="auto"/>
        <w:ind w:firstLine="482" w:firstLineChars="200"/>
        <w:jc w:val="both"/>
        <w:rPr>
          <w:rFonts w:hint="eastAsia" w:ascii="黑体" w:hAnsi="黑体" w:eastAsia="黑体" w:cs="宋体"/>
          <w:b/>
          <w:color w:val="auto"/>
          <w:sz w:val="24"/>
          <w:szCs w:val="24"/>
          <w:lang w:eastAsia="zh-CN"/>
        </w:rPr>
      </w:pPr>
      <w:r>
        <w:rPr>
          <w:rFonts w:hint="eastAsia" w:ascii="黑体" w:hAnsi="黑体" w:eastAsia="黑体" w:cs="宋体"/>
          <w:b/>
          <w:color w:val="auto"/>
          <w:sz w:val="24"/>
          <w:szCs w:val="24"/>
          <w:lang w:eastAsia="zh-CN"/>
        </w:rPr>
        <w:t>九、投标人应提交的材料</w:t>
      </w:r>
    </w:p>
    <w:p w14:paraId="511A073E">
      <w:pPr>
        <w:spacing w:after="0" w:line="360" w:lineRule="auto"/>
        <w:ind w:firstLine="480" w:firstLineChars="200"/>
        <w:jc w:val="both"/>
        <w:rPr>
          <w:rFonts w:hint="eastAsia" w:ascii="宋体" w:hAnsi="宋体"/>
          <w:color w:val="auto"/>
          <w:sz w:val="24"/>
          <w:szCs w:val="24"/>
          <w:lang w:eastAsia="zh-CN"/>
        </w:rPr>
      </w:pPr>
      <w:r>
        <w:rPr>
          <w:rFonts w:hint="eastAsia" w:ascii="宋体" w:hAnsi="宋体"/>
          <w:color w:val="auto"/>
          <w:sz w:val="24"/>
          <w:szCs w:val="24"/>
          <w:lang w:eastAsia="zh-CN"/>
        </w:rPr>
        <w:t>投标文件递交时间：202</w:t>
      </w:r>
      <w:r>
        <w:rPr>
          <w:rFonts w:hint="eastAsia" w:ascii="宋体" w:hAnsi="宋体"/>
          <w:color w:val="auto"/>
          <w:sz w:val="24"/>
          <w:szCs w:val="24"/>
          <w:lang w:val="en-US" w:eastAsia="zh-CN"/>
        </w:rPr>
        <w:t>6</w:t>
      </w:r>
      <w:r>
        <w:rPr>
          <w:rFonts w:hint="eastAsia" w:ascii="宋体" w:hAnsi="宋体"/>
          <w:color w:val="auto"/>
          <w:sz w:val="24"/>
          <w:szCs w:val="24"/>
          <w:lang w:eastAsia="zh-CN"/>
        </w:rPr>
        <w:t>年</w:t>
      </w:r>
      <w:r>
        <w:rPr>
          <w:rFonts w:hint="eastAsia" w:ascii="宋体" w:hAnsi="宋体"/>
          <w:color w:val="auto"/>
          <w:sz w:val="24"/>
          <w:szCs w:val="24"/>
          <w:lang w:val="en-US" w:eastAsia="zh-CN"/>
        </w:rPr>
        <w:t>1</w:t>
      </w:r>
      <w:r>
        <w:rPr>
          <w:rFonts w:hint="eastAsia" w:ascii="宋体" w:hAnsi="宋体"/>
          <w:color w:val="auto"/>
          <w:sz w:val="24"/>
          <w:szCs w:val="24"/>
          <w:lang w:eastAsia="zh-CN"/>
        </w:rPr>
        <w:t>月</w:t>
      </w:r>
      <w:r>
        <w:rPr>
          <w:rFonts w:hint="eastAsia" w:ascii="宋体" w:hAnsi="宋体"/>
          <w:color w:val="auto"/>
          <w:sz w:val="24"/>
          <w:szCs w:val="24"/>
          <w:lang w:val="en-US" w:eastAsia="zh-CN"/>
        </w:rPr>
        <w:t xml:space="preserve">19 </w:t>
      </w:r>
      <w:r>
        <w:rPr>
          <w:rFonts w:hint="eastAsia" w:ascii="宋体" w:hAnsi="宋体"/>
          <w:color w:val="auto"/>
          <w:sz w:val="24"/>
          <w:szCs w:val="24"/>
          <w:lang w:eastAsia="zh-CN"/>
        </w:rPr>
        <w:t>日</w:t>
      </w:r>
      <w:r>
        <w:rPr>
          <w:rFonts w:hint="eastAsia" w:ascii="宋体" w:hAnsi="宋体"/>
          <w:color w:val="auto"/>
          <w:sz w:val="24"/>
          <w:szCs w:val="24"/>
          <w:lang w:val="en-US" w:eastAsia="zh-CN"/>
        </w:rPr>
        <w:t>13</w:t>
      </w:r>
      <w:r>
        <w:rPr>
          <w:rFonts w:hint="eastAsia" w:ascii="宋体" w:hAnsi="宋体"/>
          <w:color w:val="auto"/>
          <w:sz w:val="24"/>
          <w:szCs w:val="24"/>
          <w:lang w:eastAsia="zh-CN"/>
        </w:rPr>
        <w:t>:40-</w:t>
      </w:r>
      <w:r>
        <w:rPr>
          <w:rFonts w:hint="eastAsia" w:ascii="宋体" w:hAnsi="宋体"/>
          <w:color w:val="auto"/>
          <w:sz w:val="24"/>
          <w:szCs w:val="24"/>
          <w:lang w:val="en-US" w:eastAsia="zh-CN"/>
        </w:rPr>
        <w:t>14</w:t>
      </w:r>
      <w:r>
        <w:rPr>
          <w:rFonts w:hint="eastAsia" w:ascii="宋体" w:hAnsi="宋体"/>
          <w:color w:val="auto"/>
          <w:sz w:val="24"/>
          <w:szCs w:val="24"/>
          <w:lang w:eastAsia="zh-CN"/>
        </w:rPr>
        <w:t>:00（北京时间）</w:t>
      </w:r>
    </w:p>
    <w:p w14:paraId="6E94B8F3">
      <w:pPr>
        <w:spacing w:after="0" w:line="360" w:lineRule="auto"/>
        <w:ind w:firstLine="480" w:firstLineChars="200"/>
        <w:jc w:val="both"/>
        <w:rPr>
          <w:rFonts w:hint="eastAsia" w:ascii="宋体" w:hAnsi="宋体"/>
          <w:color w:val="auto"/>
          <w:sz w:val="24"/>
          <w:szCs w:val="24"/>
          <w:lang w:eastAsia="zh-CN"/>
        </w:rPr>
      </w:pPr>
      <w:r>
        <w:rPr>
          <w:rFonts w:hint="eastAsia" w:ascii="宋体" w:hAnsi="宋体"/>
          <w:color w:val="auto"/>
          <w:sz w:val="24"/>
          <w:szCs w:val="24"/>
          <w:lang w:eastAsia="zh-CN"/>
        </w:rPr>
        <w:t>截止时间：202</w:t>
      </w:r>
      <w:r>
        <w:rPr>
          <w:rFonts w:hint="eastAsia" w:ascii="宋体" w:hAnsi="宋体"/>
          <w:color w:val="auto"/>
          <w:sz w:val="24"/>
          <w:szCs w:val="24"/>
          <w:lang w:val="en-US" w:eastAsia="zh-CN"/>
        </w:rPr>
        <w:t>6</w:t>
      </w:r>
      <w:r>
        <w:rPr>
          <w:rFonts w:hint="eastAsia" w:ascii="宋体" w:hAnsi="宋体"/>
          <w:color w:val="auto"/>
          <w:sz w:val="24"/>
          <w:szCs w:val="24"/>
          <w:lang w:eastAsia="zh-CN"/>
        </w:rPr>
        <w:t>年</w:t>
      </w:r>
      <w:r>
        <w:rPr>
          <w:rFonts w:hint="eastAsia" w:ascii="宋体" w:hAnsi="宋体"/>
          <w:color w:val="auto"/>
          <w:sz w:val="24"/>
          <w:szCs w:val="24"/>
          <w:lang w:val="en-US" w:eastAsia="zh-CN"/>
        </w:rPr>
        <w:t>1</w:t>
      </w:r>
      <w:r>
        <w:rPr>
          <w:rFonts w:hint="eastAsia" w:ascii="宋体" w:hAnsi="宋体"/>
          <w:color w:val="auto"/>
          <w:sz w:val="24"/>
          <w:szCs w:val="24"/>
          <w:lang w:eastAsia="zh-CN"/>
        </w:rPr>
        <w:t>月</w:t>
      </w:r>
      <w:r>
        <w:rPr>
          <w:rFonts w:hint="eastAsia" w:ascii="宋体" w:hAnsi="宋体"/>
          <w:color w:val="auto"/>
          <w:sz w:val="24"/>
          <w:szCs w:val="24"/>
          <w:lang w:val="en-US" w:eastAsia="zh-CN"/>
        </w:rPr>
        <w:t xml:space="preserve">19 </w:t>
      </w:r>
      <w:r>
        <w:rPr>
          <w:rFonts w:hint="eastAsia" w:ascii="宋体" w:hAnsi="宋体"/>
          <w:color w:val="auto"/>
          <w:sz w:val="24"/>
          <w:szCs w:val="24"/>
          <w:lang w:eastAsia="zh-CN"/>
        </w:rPr>
        <w:t>日</w:t>
      </w:r>
      <w:r>
        <w:rPr>
          <w:rFonts w:hint="eastAsia" w:ascii="宋体" w:hAnsi="宋体"/>
          <w:color w:val="auto"/>
          <w:sz w:val="24"/>
          <w:szCs w:val="24"/>
          <w:lang w:val="en-US" w:eastAsia="zh-CN"/>
        </w:rPr>
        <w:t>14</w:t>
      </w:r>
      <w:r>
        <w:rPr>
          <w:rFonts w:hint="eastAsia" w:ascii="宋体" w:hAnsi="宋体"/>
          <w:color w:val="auto"/>
          <w:sz w:val="24"/>
          <w:szCs w:val="24"/>
          <w:lang w:eastAsia="zh-CN"/>
        </w:rPr>
        <w:t>:00（北京时间）</w:t>
      </w:r>
    </w:p>
    <w:p w14:paraId="5A8843E7">
      <w:pPr>
        <w:spacing w:after="0" w:line="360" w:lineRule="auto"/>
        <w:ind w:firstLine="480" w:firstLineChars="200"/>
        <w:jc w:val="both"/>
        <w:rPr>
          <w:rFonts w:hint="eastAsia" w:ascii="宋体" w:hAnsi="宋体"/>
          <w:sz w:val="24"/>
          <w:szCs w:val="24"/>
          <w:lang w:eastAsia="zh-CN"/>
        </w:rPr>
      </w:pPr>
      <w:r>
        <w:rPr>
          <w:rFonts w:hint="eastAsia" w:ascii="宋体" w:hAnsi="宋体"/>
          <w:color w:val="auto"/>
          <w:sz w:val="24"/>
          <w:szCs w:val="24"/>
          <w:lang w:eastAsia="zh-CN"/>
        </w:rPr>
        <w:t>递交方式：纸质文件递交，所有投标</w:t>
      </w:r>
      <w:r>
        <w:rPr>
          <w:rFonts w:hint="eastAsia" w:ascii="宋体" w:hAnsi="宋体"/>
          <w:sz w:val="24"/>
          <w:szCs w:val="24"/>
          <w:lang w:eastAsia="zh-CN"/>
        </w:rPr>
        <w:t>文件应于递交截止时间前递交至开标地点。逾期递交的、未递交至指定地点的或者不按照招标文件要求密封的投标文件将予以拒收。</w:t>
      </w:r>
    </w:p>
    <w:p w14:paraId="38A1D80D">
      <w:pPr>
        <w:spacing w:after="0" w:line="360" w:lineRule="auto"/>
        <w:ind w:firstLine="480" w:firstLineChars="200"/>
        <w:jc w:val="both"/>
        <w:rPr>
          <w:rFonts w:hint="eastAsia" w:ascii="宋体" w:hAnsi="宋体"/>
          <w:sz w:val="24"/>
          <w:szCs w:val="24"/>
          <w:lang w:eastAsia="zh-CN"/>
        </w:rPr>
      </w:pPr>
      <w:r>
        <w:rPr>
          <w:rFonts w:hint="eastAsia" w:ascii="宋体" w:hAnsi="宋体"/>
          <w:sz w:val="24"/>
          <w:szCs w:val="24"/>
          <w:lang w:eastAsia="zh-CN"/>
        </w:rPr>
        <w:t>文件数量：正本1份，副本3份，包含所有投标内容的电子文档U盘1份（电子文档应同时提供签章后扫描PDF版和可编辑的word、excel格式等电子版）。</w:t>
      </w:r>
    </w:p>
    <w:p w14:paraId="33EA2A1D">
      <w:pPr>
        <w:spacing w:after="0" w:line="360" w:lineRule="auto"/>
        <w:ind w:firstLine="482" w:firstLineChars="200"/>
        <w:jc w:val="both"/>
        <w:rPr>
          <w:rFonts w:hint="eastAsia" w:ascii="黑体" w:hAnsi="黑体" w:eastAsia="黑体" w:cs="宋体"/>
          <w:b/>
          <w:sz w:val="24"/>
          <w:szCs w:val="24"/>
          <w:lang w:eastAsia="zh-CN"/>
        </w:rPr>
      </w:pPr>
      <w:r>
        <w:rPr>
          <w:rFonts w:hint="eastAsia" w:ascii="黑体" w:hAnsi="黑体" w:eastAsia="黑体" w:cs="宋体"/>
          <w:b/>
          <w:sz w:val="24"/>
          <w:szCs w:val="24"/>
          <w:lang w:eastAsia="zh-CN"/>
        </w:rPr>
        <w:t>十、联系方式</w:t>
      </w:r>
    </w:p>
    <w:p w14:paraId="395E67A3">
      <w:pPr>
        <w:tabs>
          <w:tab w:val="left" w:pos="496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招标人：常州中交建设发展有限公司</w:t>
      </w:r>
    </w:p>
    <w:p w14:paraId="75BAAE87">
      <w:pPr>
        <w:tabs>
          <w:tab w:val="left" w:pos="496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地 址：常州市天宁区丁塘港路2号</w:t>
      </w:r>
    </w:p>
    <w:p w14:paraId="15C67AD7">
      <w:pPr>
        <w:tabs>
          <w:tab w:val="left" w:pos="496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联系人：程工</w:t>
      </w:r>
    </w:p>
    <w:p w14:paraId="7A633F14">
      <w:pPr>
        <w:tabs>
          <w:tab w:val="left" w:pos="496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电</w:t>
      </w:r>
      <w:r>
        <w:rPr>
          <w:rFonts w:ascii="宋体" w:hAnsi="宋体" w:cs="宋体"/>
          <w:sz w:val="24"/>
          <w:szCs w:val="24"/>
          <w:lang w:eastAsia="zh-CN"/>
        </w:rPr>
        <w:t xml:space="preserve"> </w:t>
      </w:r>
      <w:r>
        <w:rPr>
          <w:rFonts w:hint="eastAsia" w:ascii="宋体" w:hAnsi="宋体" w:cs="宋体"/>
          <w:sz w:val="24"/>
          <w:szCs w:val="24"/>
          <w:lang w:eastAsia="zh-CN"/>
        </w:rPr>
        <w:t xml:space="preserve">话：0519-86669600 </w:t>
      </w:r>
    </w:p>
    <w:p w14:paraId="4C77CC37">
      <w:pPr>
        <w:tabs>
          <w:tab w:val="left" w:pos="5085"/>
        </w:tabs>
        <w:spacing w:after="0" w:line="360" w:lineRule="auto"/>
        <w:ind w:firstLine="480" w:firstLineChars="200"/>
        <w:jc w:val="both"/>
        <w:rPr>
          <w:rFonts w:hint="eastAsia" w:ascii="宋体" w:hAnsi="宋体" w:cs="宋体"/>
          <w:sz w:val="24"/>
          <w:szCs w:val="24"/>
          <w:lang w:eastAsia="zh-CN"/>
        </w:rPr>
      </w:pPr>
    </w:p>
    <w:p w14:paraId="2AE22DD4">
      <w:pPr>
        <w:tabs>
          <w:tab w:val="left" w:pos="508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招标代理：常州中瑞工程造价咨询有限公司</w:t>
      </w:r>
    </w:p>
    <w:p w14:paraId="4204DB4F">
      <w:pPr>
        <w:tabs>
          <w:tab w:val="left" w:pos="508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地址：常州市新北区友邦商务大厦A座13楼</w:t>
      </w:r>
    </w:p>
    <w:p w14:paraId="538FDBE0">
      <w:pPr>
        <w:tabs>
          <w:tab w:val="left" w:pos="508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联系人：张女士</w:t>
      </w:r>
    </w:p>
    <w:p w14:paraId="50F307C6">
      <w:pPr>
        <w:tabs>
          <w:tab w:val="left" w:pos="508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业务电话：0519-85606263</w:t>
      </w:r>
    </w:p>
    <w:p w14:paraId="73A58B44">
      <w:pPr>
        <w:tabs>
          <w:tab w:val="left" w:pos="5085"/>
        </w:tabs>
        <w:spacing w:after="0" w:line="360" w:lineRule="auto"/>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邮 箱：429900796@qq.com</w:t>
      </w:r>
    </w:p>
    <w:p w14:paraId="18D0236D">
      <w:pPr>
        <w:spacing w:after="0" w:line="440" w:lineRule="exact"/>
        <w:ind w:right="207" w:rightChars="94"/>
        <w:rPr>
          <w:rFonts w:hint="eastAsia" w:ascii="宋体" w:hAnsi="宋体" w:cs="宋体"/>
          <w:spacing w:val="2"/>
          <w:sz w:val="24"/>
          <w:szCs w:val="24"/>
          <w:lang w:eastAsia="zh-CN"/>
        </w:rPr>
      </w:pPr>
      <w:r>
        <w:rPr>
          <w:rFonts w:hint="eastAsia" w:ascii="宋体" w:hAnsi="宋体" w:cs="宋体"/>
          <w:b/>
          <w:sz w:val="24"/>
          <w:szCs w:val="24"/>
          <w:lang w:eastAsia="zh-CN"/>
        </w:rPr>
        <w:br w:type="page"/>
      </w:r>
      <w:r>
        <w:rPr>
          <w:rFonts w:hint="eastAsia" w:ascii="宋体" w:hAnsi="宋体" w:cs="宋体"/>
          <w:spacing w:val="2"/>
          <w:sz w:val="24"/>
          <w:szCs w:val="24"/>
          <w:lang w:eastAsia="zh-CN"/>
        </w:rPr>
        <w:t>附件一：</w:t>
      </w:r>
    </w:p>
    <w:p w14:paraId="03EBBE47">
      <w:pPr>
        <w:spacing w:after="0" w:line="440" w:lineRule="exact"/>
        <w:ind w:right="207" w:rightChars="94"/>
        <w:jc w:val="center"/>
        <w:rPr>
          <w:rFonts w:hint="eastAsia" w:ascii="宋体" w:hAnsi="宋体" w:cs="宋体"/>
          <w:b/>
          <w:sz w:val="24"/>
          <w:szCs w:val="24"/>
          <w:lang w:eastAsia="zh-CN"/>
        </w:rPr>
      </w:pPr>
      <w:r>
        <w:rPr>
          <w:rFonts w:hint="eastAsia" w:ascii="宋体" w:hAnsi="宋体" w:cs="宋体"/>
          <w:b/>
          <w:spacing w:val="2"/>
          <w:sz w:val="24"/>
          <w:szCs w:val="24"/>
          <w:lang w:eastAsia="zh-CN"/>
        </w:rPr>
        <w:t>投标保证金说明</w:t>
      </w:r>
    </w:p>
    <w:p w14:paraId="05EF6DAF">
      <w:pPr>
        <w:spacing w:after="0" w:line="440" w:lineRule="exact"/>
        <w:ind w:firstLine="480" w:firstLineChars="200"/>
        <w:jc w:val="both"/>
        <w:rPr>
          <w:rFonts w:hint="eastAsia" w:ascii="宋体" w:hAnsi="宋体" w:cs="宋体"/>
          <w:sz w:val="24"/>
          <w:szCs w:val="24"/>
          <w:lang w:eastAsia="zh-CN"/>
        </w:rPr>
      </w:pPr>
    </w:p>
    <w:p w14:paraId="11B22AAA">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1、投标保证金账户名称：</w:t>
      </w:r>
    </w:p>
    <w:p w14:paraId="7B1B6A0F">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户名：常州中瑞工程造价咨询有限公司</w:t>
      </w:r>
    </w:p>
    <w:p w14:paraId="65C0CB64">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账号： 8273204110701201000050058（进账备注写明某某工程投标保证金）</w:t>
      </w:r>
    </w:p>
    <w:p w14:paraId="3047A49B">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开户行：江南农商行常高新科技支行</w:t>
      </w:r>
    </w:p>
    <w:p w14:paraId="478289A7">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2、投标单位必须用转账支票、电汇、网上银行等方式自行将保证金从基本账户汇入到保证金专用账户（本工程开标现场不接收现金方式的投标保证金）；</w:t>
      </w:r>
    </w:p>
    <w:p w14:paraId="75E7A01C">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3、投标人在缴纳保证金时必须在转账支票、电汇单等票面的用途栏上注明所报工程项目的名称，投标保证金金额（人民币）</w:t>
      </w:r>
      <w:r>
        <w:rPr>
          <w:rFonts w:hint="eastAsia" w:ascii="宋体" w:cs="宋体"/>
          <w:position w:val="-4"/>
          <w:sz w:val="24"/>
          <w:szCs w:val="24"/>
          <w:highlight w:val="none"/>
          <w:lang w:eastAsia="zh-CN"/>
        </w:rPr>
        <w:t>：</w:t>
      </w:r>
      <w:r>
        <w:rPr>
          <w:rFonts w:hint="eastAsia" w:ascii="宋体" w:cs="宋体"/>
          <w:color w:val="FF0000"/>
          <w:position w:val="-4"/>
          <w:sz w:val="24"/>
          <w:szCs w:val="24"/>
          <w:highlight w:val="none"/>
          <w:lang w:val="en-US" w:eastAsia="zh-CN"/>
        </w:rPr>
        <w:t>叁拾</w:t>
      </w:r>
      <w:r>
        <w:rPr>
          <w:rFonts w:hint="eastAsia" w:ascii="宋体" w:cs="宋体"/>
          <w:color w:val="FF0000"/>
          <w:position w:val="-4"/>
          <w:sz w:val="24"/>
          <w:szCs w:val="24"/>
          <w:highlight w:val="none"/>
          <w:lang w:eastAsia="zh-CN"/>
        </w:rPr>
        <w:t>万元整</w:t>
      </w:r>
      <w:r>
        <w:rPr>
          <w:rFonts w:hint="eastAsia" w:ascii="宋体" w:cs="宋体"/>
          <w:position w:val="-4"/>
          <w:sz w:val="24"/>
          <w:szCs w:val="24"/>
          <w:highlight w:val="none"/>
          <w:lang w:eastAsia="zh-CN"/>
        </w:rPr>
        <w:t>。</w:t>
      </w:r>
      <w:r>
        <w:rPr>
          <w:rFonts w:hint="eastAsia" w:ascii="宋体" w:cs="宋体"/>
          <w:position w:val="-4"/>
          <w:sz w:val="24"/>
          <w:szCs w:val="24"/>
          <w:lang w:eastAsia="zh-CN"/>
        </w:rPr>
        <w:t>；</w:t>
      </w:r>
    </w:p>
    <w:p w14:paraId="51F64736">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4、投标保证金到账截止时间为投标截止时间前一工作日16：00前，投标单位应充分考虑在途时间，确保投标保证金在投标截止时间前一工作日16：00前到达投标保证金专用账户。</w:t>
      </w:r>
    </w:p>
    <w:p w14:paraId="7016B1F7">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 xml:space="preserve">5、投标保证金的退还时间：除排序前三名的中标候选人以外的其他投标单位在中标结果公示结束且无异议后的五个工作日内退还；排序前三名的中标候选人在施工合同签订后的五个工作日内退还。 </w:t>
      </w:r>
    </w:p>
    <w:p w14:paraId="31B63848">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 xml:space="preserve">6、投标保证金退还方式：通过网上银行直接退还至原缴纳账户。 </w:t>
      </w:r>
    </w:p>
    <w:p w14:paraId="3699FD32">
      <w:pPr>
        <w:spacing w:after="0" w:line="440" w:lineRule="exact"/>
        <w:ind w:firstLine="480" w:firstLineChars="200"/>
        <w:jc w:val="both"/>
        <w:rPr>
          <w:rFonts w:hint="eastAsia" w:ascii="宋体" w:cs="宋体"/>
          <w:position w:val="-4"/>
          <w:sz w:val="24"/>
          <w:szCs w:val="24"/>
          <w:lang w:eastAsia="zh-CN"/>
        </w:rPr>
      </w:pPr>
      <w:r>
        <w:rPr>
          <w:rFonts w:hint="eastAsia" w:ascii="宋体" w:cs="宋体"/>
          <w:position w:val="-4"/>
          <w:sz w:val="24"/>
          <w:szCs w:val="24"/>
          <w:lang w:eastAsia="zh-CN"/>
        </w:rPr>
        <w:t xml:space="preserve">7、有下列情形之一的，保证金不予退还：①在提交投标文件截止时间后到招标文件规定的投标有效期终止之前，投标人撤回投标文件的，其保证金将不予退还；②中标通知书发出后，中标人放弃中标项目的无正当理由不与招标人签订合同的，在签订合同时向招标人提出附加条件或者更改合同实质性内容的，或者拒不交纳所要求的履约担保的，投标保证金不予退还并取消其中标资格；③投标人涉嫌违法违规或被投诉，在调查处理期间，保证金暂不退还，待调查处理结果明确后按规定处理；④法律法规或招标文件规定的其他情形。 </w:t>
      </w:r>
    </w:p>
    <w:p w14:paraId="3C9F3FD7">
      <w:pPr>
        <w:spacing w:after="0" w:line="440" w:lineRule="exact"/>
        <w:ind w:firstLine="480" w:firstLineChars="200"/>
        <w:jc w:val="both"/>
        <w:rPr>
          <w:rFonts w:hint="eastAsia" w:ascii="宋体" w:hAnsi="宋体" w:cs="宋体"/>
          <w:position w:val="-4"/>
          <w:sz w:val="24"/>
          <w:szCs w:val="24"/>
          <w:lang w:eastAsia="zh-CN"/>
        </w:rPr>
      </w:pPr>
      <w:r>
        <w:rPr>
          <w:rFonts w:hint="eastAsia" w:ascii="宋体" w:cs="宋体"/>
          <w:position w:val="-4"/>
          <w:sz w:val="24"/>
          <w:szCs w:val="24"/>
          <w:lang w:eastAsia="zh-CN"/>
        </w:rPr>
        <w:t>8、其它未尽事宜按常建[2019]231号文执行。</w:t>
      </w:r>
      <w:r>
        <w:rPr>
          <w:rFonts w:ascii="宋体" w:cs="宋体"/>
          <w:position w:val="-4"/>
          <w:sz w:val="24"/>
          <w:szCs w:val="24"/>
          <w:lang w:eastAsia="zh-CN"/>
        </w:rPr>
        <w:br w:type="page"/>
      </w:r>
      <w:r>
        <w:rPr>
          <w:rFonts w:hint="eastAsia" w:ascii="宋体" w:hAnsi="宋体" w:cs="宋体"/>
          <w:spacing w:val="2"/>
          <w:sz w:val="24"/>
          <w:szCs w:val="24"/>
          <w:lang w:eastAsia="zh-CN"/>
        </w:rPr>
        <w:t>附件二：</w:t>
      </w:r>
    </w:p>
    <w:p w14:paraId="4460F219">
      <w:pPr>
        <w:tabs>
          <w:tab w:val="left" w:pos="3480"/>
        </w:tabs>
        <w:spacing w:after="0" w:line="440" w:lineRule="exact"/>
        <w:ind w:left="400" w:right="207" w:rightChars="94"/>
        <w:jc w:val="center"/>
        <w:rPr>
          <w:rFonts w:hint="eastAsia" w:ascii="宋体" w:hAnsi="宋体" w:cs="宋体"/>
          <w:b/>
          <w:bCs/>
          <w:sz w:val="24"/>
          <w:szCs w:val="24"/>
          <w:lang w:eastAsia="zh-CN"/>
        </w:rPr>
      </w:pPr>
      <w:r>
        <w:rPr>
          <w:rFonts w:hint="eastAsia" w:ascii="宋体" w:hAnsi="宋体" w:cs="宋体"/>
          <w:b/>
          <w:bCs/>
          <w:position w:val="-4"/>
          <w:sz w:val="24"/>
          <w:szCs w:val="24"/>
          <w:lang w:eastAsia="zh-CN"/>
        </w:rPr>
        <w:t>资</w:t>
      </w:r>
      <w:r>
        <w:rPr>
          <w:rFonts w:hint="eastAsia" w:ascii="宋体" w:hAnsi="宋体" w:cs="宋体"/>
          <w:b/>
          <w:bCs/>
          <w:spacing w:val="2"/>
          <w:position w:val="-4"/>
          <w:sz w:val="24"/>
          <w:szCs w:val="24"/>
          <w:lang w:eastAsia="zh-CN"/>
        </w:rPr>
        <w:t>格审查</w:t>
      </w:r>
      <w:r>
        <w:rPr>
          <w:rFonts w:hint="eastAsia" w:ascii="宋体" w:hAnsi="宋体" w:cs="宋体"/>
          <w:b/>
          <w:bCs/>
          <w:position w:val="-4"/>
          <w:sz w:val="24"/>
          <w:szCs w:val="24"/>
          <w:lang w:eastAsia="zh-CN"/>
        </w:rPr>
        <w:t>办法</w:t>
      </w:r>
    </w:p>
    <w:p w14:paraId="56347E80">
      <w:pPr>
        <w:spacing w:after="0" w:line="440" w:lineRule="exact"/>
        <w:ind w:firstLine="480" w:firstLineChars="200"/>
        <w:jc w:val="both"/>
        <w:rPr>
          <w:rFonts w:hint="eastAsia" w:ascii="宋体" w:hAnsi="宋体" w:cs="宋体"/>
          <w:sz w:val="24"/>
          <w:szCs w:val="24"/>
          <w:lang w:eastAsia="zh-CN"/>
        </w:rPr>
      </w:pPr>
    </w:p>
    <w:p w14:paraId="36E5D10A">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一、本工程采用资格后审对投标人进行资格审查。</w:t>
      </w:r>
    </w:p>
    <w:p w14:paraId="29912CA0">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二、本工程资审合格条件：</w:t>
      </w:r>
    </w:p>
    <w:p w14:paraId="4169AE3F">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具有独立订立合同的能力；</w:t>
      </w:r>
    </w:p>
    <w:p w14:paraId="0E4E829A">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未处于被责令停业、投标资格被取消的状态；</w:t>
      </w:r>
    </w:p>
    <w:p w14:paraId="74F50E02">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企业没有因骗取中标或者严重违约以及发生重大工程质量、安全事故等暂停投标资格并处在暂停期内的；</w:t>
      </w:r>
    </w:p>
    <w:p w14:paraId="7827482D">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投标文件中的资格审查资料没有失真或者弄虚作假；</w:t>
      </w:r>
    </w:p>
    <w:p w14:paraId="1608E474">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企业的资质类别、等级和项目负责人注册专业、资格等级符合国家有关规定；</w:t>
      </w:r>
    </w:p>
    <w:p w14:paraId="6E310497">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企业具备安全生产条件，并取得安全生产许可证；</w:t>
      </w:r>
    </w:p>
    <w:p w14:paraId="6989F583">
      <w:pPr>
        <w:numPr>
          <w:ilvl w:val="0"/>
          <w:numId w:val="1"/>
        </w:numPr>
        <w:tabs>
          <w:tab w:val="left" w:pos="851"/>
        </w:tabs>
        <w:spacing w:after="0" w:line="440" w:lineRule="exact"/>
        <w:ind w:left="0" w:firstLine="480"/>
        <w:jc w:val="both"/>
        <w:rPr>
          <w:rFonts w:hint="eastAsia" w:ascii="宋体" w:hAnsi="宋体" w:cs="宋体"/>
          <w:color w:val="FF0000"/>
          <w:sz w:val="24"/>
          <w:szCs w:val="24"/>
          <w:lang w:eastAsia="zh-CN"/>
        </w:rPr>
      </w:pPr>
      <w:r>
        <w:rPr>
          <w:rFonts w:hint="eastAsia" w:ascii="宋体" w:hAnsi="宋体" w:cs="宋体"/>
          <w:sz w:val="24"/>
          <w:szCs w:val="24"/>
          <w:lang w:eastAsia="zh-CN"/>
        </w:rPr>
        <w:t>企业资质要求：</w:t>
      </w:r>
      <w:r>
        <w:rPr>
          <w:rFonts w:hint="eastAsia" w:ascii="宋体" w:hAnsi="宋体" w:cs="宋体"/>
          <w:color w:val="FF0000"/>
          <w:sz w:val="24"/>
          <w:szCs w:val="24"/>
          <w:lang w:eastAsia="zh-CN"/>
        </w:rPr>
        <w:t>电力工程施工总承包三级及以上或输变电工程专业承包三级及以上，且具有承装承修承试电力设施许可证五级及以上资质；</w:t>
      </w:r>
    </w:p>
    <w:p w14:paraId="6C9C88B7">
      <w:pPr>
        <w:numPr>
          <w:ilvl w:val="0"/>
          <w:numId w:val="1"/>
        </w:numPr>
        <w:tabs>
          <w:tab w:val="left" w:pos="851"/>
        </w:tabs>
        <w:spacing w:after="0" w:line="440" w:lineRule="exact"/>
        <w:ind w:left="0" w:firstLine="480"/>
        <w:jc w:val="both"/>
        <w:rPr>
          <w:rFonts w:hint="eastAsia" w:ascii="宋体" w:hAnsi="宋体" w:cs="宋体"/>
          <w:color w:val="FF0000"/>
          <w:sz w:val="24"/>
          <w:szCs w:val="24"/>
          <w:lang w:eastAsia="zh-CN"/>
        </w:rPr>
      </w:pPr>
      <w:r>
        <w:rPr>
          <w:rFonts w:hint="eastAsia" w:ascii="宋体" w:hAnsi="宋体" w:cs="宋体"/>
          <w:sz w:val="24"/>
          <w:szCs w:val="24"/>
          <w:lang w:eastAsia="zh-CN"/>
        </w:rPr>
        <w:t>负责本项目的项目负责人须具备</w:t>
      </w:r>
      <w:r>
        <w:rPr>
          <w:rFonts w:hint="eastAsia" w:ascii="宋体" w:hAnsi="宋体" w:cs="宋体"/>
          <w:color w:val="FF0000"/>
          <w:sz w:val="24"/>
          <w:szCs w:val="24"/>
          <w:lang w:eastAsia="zh-CN"/>
        </w:rPr>
        <w:t>机电工程专业壹级建造师注册执业资格证书；建造师须具有安全生产考核合格证（</w:t>
      </w:r>
      <w:r>
        <w:rPr>
          <w:rFonts w:ascii="宋体" w:hAnsi="宋体" w:cs="宋体"/>
          <w:color w:val="FF0000"/>
          <w:sz w:val="24"/>
          <w:szCs w:val="24"/>
          <w:lang w:eastAsia="zh-CN"/>
        </w:rPr>
        <w:t>B</w:t>
      </w:r>
      <w:r>
        <w:rPr>
          <w:rFonts w:hint="eastAsia" w:ascii="宋体" w:hAnsi="宋体" w:cs="宋体"/>
          <w:color w:val="FF0000"/>
          <w:sz w:val="24"/>
          <w:szCs w:val="24"/>
          <w:lang w:eastAsia="zh-CN"/>
        </w:rPr>
        <w:t>证）；投标人提供为建造师缴纳2025年</w:t>
      </w:r>
      <w:r>
        <w:rPr>
          <w:rFonts w:hint="eastAsia" w:ascii="宋体" w:hAnsi="宋体" w:cs="宋体"/>
          <w:color w:val="FF0000"/>
          <w:sz w:val="24"/>
          <w:szCs w:val="24"/>
          <w:lang w:val="en-US" w:eastAsia="zh-CN"/>
        </w:rPr>
        <w:t>10</w:t>
      </w:r>
      <w:r>
        <w:rPr>
          <w:rFonts w:hint="eastAsia" w:ascii="宋体" w:hAnsi="宋体" w:cs="宋体"/>
          <w:color w:val="FF0000"/>
          <w:sz w:val="24"/>
          <w:szCs w:val="24"/>
          <w:lang w:eastAsia="zh-CN"/>
        </w:rPr>
        <w:t>月至2025年</w:t>
      </w:r>
      <w:r>
        <w:rPr>
          <w:rFonts w:hint="eastAsia" w:ascii="宋体" w:hAnsi="宋体" w:cs="宋体"/>
          <w:color w:val="FF0000"/>
          <w:sz w:val="24"/>
          <w:szCs w:val="24"/>
          <w:lang w:val="en-US" w:eastAsia="zh-CN"/>
        </w:rPr>
        <w:t>12</w:t>
      </w:r>
      <w:r>
        <w:rPr>
          <w:rFonts w:hint="eastAsia" w:ascii="宋体" w:hAnsi="宋体" w:cs="宋体"/>
          <w:color w:val="FF0000"/>
          <w:sz w:val="24"/>
          <w:szCs w:val="24"/>
          <w:lang w:eastAsia="zh-CN"/>
        </w:rPr>
        <w:t>月社会基本养老保险的参保缴费证明；</w:t>
      </w:r>
    </w:p>
    <w:p w14:paraId="4C35C46C">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投标人未被“信用中国”（www.creditchina.gov.cn）网站上被公布为失信被执行人的，具体按照苏信用办【2018】23号文执行；</w:t>
      </w:r>
    </w:p>
    <w:p w14:paraId="45BD4B76">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法定代表人为同一人的两个及两个以上法人，母公司、全资子公司及其控股公司都不得在同一项目招标中同时参加投标；</w:t>
      </w:r>
    </w:p>
    <w:p w14:paraId="0A04BABF">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本项目不接受联合体投标；</w:t>
      </w:r>
    </w:p>
    <w:p w14:paraId="727CF2CC">
      <w:pPr>
        <w:numPr>
          <w:ilvl w:val="0"/>
          <w:numId w:val="1"/>
        </w:numPr>
        <w:tabs>
          <w:tab w:val="left" w:pos="851"/>
        </w:tabs>
        <w:spacing w:after="0" w:line="440" w:lineRule="exact"/>
        <w:ind w:left="0" w:firstLine="480"/>
        <w:jc w:val="both"/>
        <w:rPr>
          <w:rFonts w:hint="eastAsia" w:ascii="宋体" w:hAnsi="宋体" w:cs="宋体"/>
          <w:sz w:val="24"/>
          <w:szCs w:val="24"/>
          <w:lang w:eastAsia="zh-CN"/>
        </w:rPr>
      </w:pPr>
      <w:r>
        <w:rPr>
          <w:rFonts w:hint="eastAsia" w:ascii="宋体" w:hAnsi="宋体" w:cs="宋体"/>
          <w:sz w:val="24"/>
          <w:szCs w:val="24"/>
          <w:lang w:eastAsia="zh-CN"/>
        </w:rPr>
        <w:t>符合法律、法规规定的其他条件。</w:t>
      </w:r>
    </w:p>
    <w:p w14:paraId="3E7B6BE7">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三、由评标专家库中随机抽取的评委组建的评标委员会通过审查资格证明文件对投标人进行资格审查。</w:t>
      </w:r>
    </w:p>
    <w:p w14:paraId="1FE7570F">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四、资格审查资料须内容、印章齐全，并在有效期内。</w:t>
      </w:r>
    </w:p>
    <w:p w14:paraId="0903A1A3">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五、资格后审需提供的资料：</w:t>
      </w:r>
    </w:p>
    <w:p w14:paraId="6B5C8CC1">
      <w:pPr>
        <w:spacing w:after="0" w:line="440" w:lineRule="exact"/>
        <w:ind w:firstLine="480" w:firstLineChars="200"/>
        <w:jc w:val="both"/>
        <w:rPr>
          <w:rFonts w:hint="eastAsia" w:ascii="宋体" w:hAnsi="宋体" w:cs="宋体"/>
          <w:sz w:val="24"/>
          <w:szCs w:val="24"/>
          <w:lang w:eastAsia="zh-CN"/>
        </w:rPr>
      </w:pPr>
      <w:r>
        <w:rPr>
          <w:rFonts w:ascii="宋体" w:hAnsi="宋体" w:cs="宋体"/>
          <w:sz w:val="24"/>
          <w:szCs w:val="24"/>
          <w:lang w:eastAsia="zh-CN"/>
        </w:rPr>
        <w:t>1</w:t>
      </w:r>
      <w:r>
        <w:rPr>
          <w:rFonts w:hint="eastAsia" w:ascii="宋体" w:hAnsi="宋体" w:cs="宋体"/>
          <w:sz w:val="24"/>
          <w:szCs w:val="24"/>
          <w:lang w:eastAsia="zh-CN"/>
        </w:rPr>
        <w:t>．投标文件中需提供以下资料参加资格后审：</w:t>
      </w:r>
    </w:p>
    <w:p w14:paraId="5890BE33">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①投标人法定代表人授权委托书（需加盖投标人公章、法定代表人签字或盖章）、被委托人第二代居民身份证复印件；</w:t>
      </w:r>
    </w:p>
    <w:p w14:paraId="43DD8E8F">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②负责本项目的项目经理须具备机电工程专业壹级建造师注册执业资格证书、安全生产考核合格证（B证），以及社保缴纳证明；</w:t>
      </w:r>
    </w:p>
    <w:p w14:paraId="25B2CA3C">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③投标承诺函（格式详见附件）；</w:t>
      </w:r>
    </w:p>
    <w:p w14:paraId="570521CF">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④企业营业执照；</w:t>
      </w:r>
    </w:p>
    <w:p w14:paraId="7AEEDD02">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⑤安全生产许可证；</w:t>
      </w:r>
    </w:p>
    <w:p w14:paraId="38A19BA0">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⑥企业资质证书；</w:t>
      </w:r>
    </w:p>
    <w:p w14:paraId="2ADC1361">
      <w:pPr>
        <w:spacing w:after="0" w:line="440" w:lineRule="exact"/>
        <w:ind w:firstLine="480" w:firstLineChars="200"/>
        <w:jc w:val="both"/>
        <w:rPr>
          <w:lang w:eastAsia="zh-CN"/>
        </w:rPr>
      </w:pPr>
      <w:r>
        <w:rPr>
          <w:rFonts w:hint="eastAsia" w:ascii="宋体" w:hAnsi="宋体" w:cs="宋体"/>
          <w:bCs/>
          <w:sz w:val="24"/>
          <w:szCs w:val="24"/>
          <w:lang w:eastAsia="zh-CN"/>
        </w:rPr>
        <w:t>2．上述资格审查资料需加盖投标人公章后装订投标文件中。</w:t>
      </w:r>
    </w:p>
    <w:p w14:paraId="57E04A4D">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六、任何不符合招标公告（包括附件）要求的情形均视为资格后审不合格。</w:t>
      </w:r>
    </w:p>
    <w:p w14:paraId="528F528C">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备注：</w:t>
      </w:r>
    </w:p>
    <w:p w14:paraId="5F5EB83F">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1.信息公布、招投标答疑：江苏省招标投标公共服务平台www.jszbtb.com、常州中瑞工程造价咨询有限公司网站www.zhongruizx.com/</w:t>
      </w:r>
      <w:r>
        <w:rPr>
          <w:rFonts w:hint="eastAsia" w:ascii="宋体" w:hAnsi="宋体" w:cs="宋体"/>
          <w:spacing w:val="-2"/>
          <w:sz w:val="24"/>
          <w:szCs w:val="24"/>
        </w:rPr>
        <w:t>。</w:t>
      </w:r>
    </w:p>
    <w:p w14:paraId="4FCF3E99">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2.本工程投标人不满3家，则招标人将重新组织招标。</w:t>
      </w:r>
    </w:p>
    <w:p w14:paraId="5CA15B22">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3.当投标人满3家，如果评标委员会根据招标文件的规定作无效标处理后，有效投标不足三个，评标委员会应当对是否具有竞争性进行判断：有竞争性的，按有效投标最终得分由高至低的次序推荐中标候选人；缺乏竞争的，评标委员会应当否决全部投标。</w:t>
      </w:r>
    </w:p>
    <w:p w14:paraId="3532023E">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4.本工程所有的资审资料，都必须在有效期内。如有关的资审资料在年审中的，开标时必须出具发证单位的有效证明，请各投标人务必注意。</w:t>
      </w:r>
    </w:p>
    <w:p w14:paraId="5A8CC4A9">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5.本工程图纸设计单位不得参与投标。</w:t>
      </w:r>
    </w:p>
    <w:p w14:paraId="656173D0">
      <w:pPr>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6.本工程招标文件与招标公告表述不一致时以招标公告为准。</w:t>
      </w:r>
    </w:p>
    <w:p w14:paraId="66A4EC65">
      <w:pPr>
        <w:spacing w:after="0" w:line="440" w:lineRule="exact"/>
        <w:ind w:right="207" w:rightChars="94"/>
        <w:rPr>
          <w:rFonts w:hint="eastAsia" w:ascii="宋体" w:hAnsi="宋体" w:cs="宋体"/>
          <w:spacing w:val="2"/>
          <w:sz w:val="24"/>
          <w:szCs w:val="24"/>
          <w:lang w:eastAsia="zh-CN"/>
        </w:rPr>
      </w:pPr>
      <w:r>
        <w:rPr>
          <w:rFonts w:ascii="宋体" w:hAnsi="宋体" w:cs="宋体"/>
          <w:spacing w:val="24"/>
          <w:sz w:val="21"/>
          <w:szCs w:val="21"/>
          <w:lang w:eastAsia="zh-CN"/>
        </w:rPr>
        <w:br w:type="page"/>
      </w:r>
      <w:r>
        <w:rPr>
          <w:rFonts w:hint="eastAsia" w:ascii="宋体" w:hAnsi="宋体" w:cs="宋体"/>
          <w:spacing w:val="2"/>
          <w:sz w:val="24"/>
          <w:szCs w:val="24"/>
          <w:lang w:eastAsia="zh-CN"/>
        </w:rPr>
        <w:t>附件三：</w:t>
      </w:r>
    </w:p>
    <w:p w14:paraId="600DC5DE">
      <w:pPr>
        <w:spacing w:after="0" w:line="440" w:lineRule="exact"/>
        <w:ind w:right="207" w:rightChars="94"/>
        <w:rPr>
          <w:rFonts w:hint="eastAsia" w:ascii="宋体" w:hAnsi="宋体" w:cs="宋体"/>
          <w:spacing w:val="2"/>
          <w:sz w:val="24"/>
          <w:szCs w:val="24"/>
          <w:lang w:eastAsia="zh-CN"/>
        </w:rPr>
      </w:pPr>
    </w:p>
    <w:p w14:paraId="0B6CB410">
      <w:pPr>
        <w:widowControl/>
        <w:spacing w:after="0" w:line="360" w:lineRule="auto"/>
        <w:ind w:firstLine="482" w:firstLineChars="200"/>
        <w:jc w:val="center"/>
        <w:rPr>
          <w:rFonts w:hint="eastAsia" w:ascii="宋体" w:hAnsi="宋体" w:cs="宋体"/>
          <w:b/>
          <w:bCs/>
          <w:kern w:val="2"/>
          <w:sz w:val="24"/>
          <w:szCs w:val="24"/>
          <w:lang w:eastAsia="zh-CN"/>
        </w:rPr>
      </w:pPr>
      <w:bookmarkStart w:id="2" w:name="OLE_LINK9"/>
      <w:r>
        <w:rPr>
          <w:rFonts w:hint="eastAsia" w:ascii="宋体" w:hAnsi="宋体" w:cs="宋体"/>
          <w:b/>
          <w:bCs/>
          <w:kern w:val="2"/>
          <w:sz w:val="24"/>
          <w:szCs w:val="24"/>
          <w:lang w:eastAsia="zh-CN"/>
        </w:rPr>
        <w:t>评标办法：（综合评分法）</w:t>
      </w:r>
    </w:p>
    <w:p w14:paraId="64447831">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1.形式评审、资格评审、符合性审查（详见招标文件第三章，评标办法前附表）；</w:t>
      </w:r>
    </w:p>
    <w:p w14:paraId="31C3DA5A">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2.商务标：</w:t>
      </w:r>
    </w:p>
    <w:p w14:paraId="419C6D69">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第一步：投标文件能够满足招标文件的实质性要求；</w:t>
      </w:r>
    </w:p>
    <w:p w14:paraId="291E3042">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第二步：符合性清标，商务标符合招标文件的实质性要求；</w:t>
      </w:r>
    </w:p>
    <w:p w14:paraId="062E2906">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第三步：详细评审：</w:t>
      </w:r>
    </w:p>
    <w:p w14:paraId="33E884E0">
      <w:pPr>
        <w:spacing w:after="0" w:line="360" w:lineRule="auto"/>
        <w:ind w:firstLine="482" w:firstLineChars="200"/>
        <w:jc w:val="both"/>
        <w:rPr>
          <w:rFonts w:hint="eastAsia" w:ascii="宋体" w:hAnsi="宋体" w:cs="宋体"/>
          <w:b/>
          <w:bCs/>
          <w:kern w:val="2"/>
          <w:sz w:val="24"/>
          <w:szCs w:val="24"/>
          <w:lang w:eastAsia="zh-CN"/>
        </w:rPr>
      </w:pPr>
      <w:r>
        <w:rPr>
          <w:rFonts w:hint="eastAsia" w:ascii="宋体" w:hAnsi="宋体" w:cs="宋体"/>
          <w:b/>
          <w:bCs/>
          <w:kern w:val="2"/>
          <w:sz w:val="24"/>
          <w:szCs w:val="24"/>
          <w:lang w:eastAsia="zh-CN"/>
        </w:rPr>
        <w:t>（一）价格分：40分</w:t>
      </w:r>
    </w:p>
    <w:p w14:paraId="7A3E59F7">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第一步：投标报价在招标控制价以下的，为有效报价。超出此范围的报价为无效报价。无效报价的投标响应文件不进行评审，也不成交。</w:t>
      </w:r>
    </w:p>
    <w:p w14:paraId="450E5BB5">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第二步：以有效投标文件的评标价算术平均值为A（有效投标文件＜7家时，以全部有效投标文件取算术平均值为A，7家≤有效投标文件＜10家时，去掉其中的一个最高价和一个最低价后取算术平均值为A；若有效投标文件≥10家时，去掉其中的二个最高价和二个最低价后取算术平均值为A）。</w:t>
      </w:r>
    </w:p>
    <w:p w14:paraId="52E0F5B6">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第三步：将所有有效报价与基准报价相比较：有效投标报价与评标基准价相等得满分，有效投标报价高于该基准价格的，每高出1%扣0.1分；有效投标报价低于该基准价格的，每低出1%扣0.1分。（按内插法，四舍五入取两位小数）</w:t>
      </w:r>
    </w:p>
    <w:p w14:paraId="1B3F217C">
      <w:pPr>
        <w:spacing w:after="0" w:line="360" w:lineRule="auto"/>
        <w:ind w:firstLine="482" w:firstLineChars="200"/>
        <w:rPr>
          <w:rFonts w:hint="eastAsia" w:ascii="宋体" w:hAnsi="宋体"/>
          <w:b/>
          <w:bCs/>
          <w:kern w:val="2"/>
          <w:sz w:val="24"/>
          <w:highlight w:val="none"/>
          <w:lang w:eastAsia="zh-CN"/>
        </w:rPr>
      </w:pPr>
      <w:r>
        <w:rPr>
          <w:rFonts w:hint="eastAsia" w:ascii="宋体" w:hAnsi="宋体"/>
          <w:b/>
          <w:bCs/>
          <w:kern w:val="2"/>
          <w:sz w:val="24"/>
          <w:lang w:eastAsia="zh-CN"/>
        </w:rPr>
        <w:t>（二）类似业绩（10分</w:t>
      </w:r>
      <w:r>
        <w:rPr>
          <w:rFonts w:hint="eastAsia" w:ascii="宋体" w:hAnsi="宋体"/>
          <w:b/>
          <w:bCs/>
          <w:kern w:val="2"/>
          <w:sz w:val="24"/>
          <w:highlight w:val="none"/>
          <w:lang w:eastAsia="zh-CN"/>
        </w:rPr>
        <w:t>）</w:t>
      </w:r>
    </w:p>
    <w:p w14:paraId="5FF447C5">
      <w:pPr>
        <w:spacing w:after="0" w:line="360" w:lineRule="auto"/>
        <w:ind w:firstLine="480" w:firstLineChars="200"/>
        <w:rPr>
          <w:rFonts w:hint="eastAsia" w:ascii="宋体" w:hAnsi="宋体"/>
          <w:kern w:val="2"/>
          <w:sz w:val="24"/>
          <w:highlight w:val="none"/>
          <w:lang w:eastAsia="zh-CN"/>
        </w:rPr>
      </w:pPr>
      <w:r>
        <w:rPr>
          <w:rFonts w:hint="eastAsia" w:ascii="宋体" w:hAnsi="宋体"/>
          <w:kern w:val="2"/>
          <w:sz w:val="24"/>
          <w:highlight w:val="none"/>
          <w:lang w:eastAsia="zh-CN"/>
        </w:rPr>
        <w:t>具有类似单项合同金额</w:t>
      </w:r>
      <w:r>
        <w:rPr>
          <w:rFonts w:hint="eastAsia" w:ascii="宋体" w:hAnsi="宋体"/>
          <w:color w:val="FF0000"/>
          <w:kern w:val="2"/>
          <w:sz w:val="24"/>
          <w:highlight w:val="none"/>
          <w:u w:val="single"/>
          <w:lang w:val="en-US" w:eastAsia="zh-CN"/>
        </w:rPr>
        <w:t>15</w:t>
      </w:r>
      <w:r>
        <w:rPr>
          <w:rFonts w:hint="eastAsia" w:ascii="宋体" w:hAnsi="宋体"/>
          <w:color w:val="FF0000"/>
          <w:kern w:val="2"/>
          <w:sz w:val="24"/>
          <w:highlight w:val="none"/>
          <w:u w:val="single"/>
          <w:lang w:eastAsia="zh-CN"/>
        </w:rPr>
        <w:t>00</w:t>
      </w:r>
      <w:r>
        <w:rPr>
          <w:rFonts w:hint="eastAsia" w:ascii="宋体" w:hAnsi="宋体"/>
          <w:kern w:val="2"/>
          <w:sz w:val="24"/>
          <w:highlight w:val="none"/>
          <w:lang w:eastAsia="zh-CN"/>
        </w:rPr>
        <w:t>万元及以上电力工程施工项目业绩的，有一个得5分，最多得10分。</w:t>
      </w:r>
    </w:p>
    <w:p w14:paraId="39723379">
      <w:pPr>
        <w:spacing w:after="0" w:line="360" w:lineRule="auto"/>
        <w:ind w:firstLine="480" w:firstLineChars="200"/>
        <w:jc w:val="both"/>
        <w:rPr>
          <w:rFonts w:hint="eastAsia" w:ascii="宋体" w:hAnsi="宋体" w:cs="宋体"/>
          <w:kern w:val="2"/>
          <w:sz w:val="24"/>
          <w:lang w:eastAsia="zh-CN"/>
        </w:rPr>
      </w:pPr>
      <w:r>
        <w:rPr>
          <w:rFonts w:hint="eastAsia" w:ascii="宋体" w:hAnsi="宋体"/>
          <w:kern w:val="2"/>
          <w:sz w:val="24"/>
          <w:lang w:eastAsia="zh-CN"/>
        </w:rPr>
        <w:t>提供合同复印件，否则不得分。</w:t>
      </w:r>
    </w:p>
    <w:p w14:paraId="6D2D79CD">
      <w:pPr>
        <w:spacing w:after="0" w:line="360" w:lineRule="auto"/>
        <w:ind w:firstLine="482" w:firstLineChars="200"/>
        <w:rPr>
          <w:rFonts w:hint="eastAsia" w:ascii="宋体" w:hAnsi="宋体"/>
          <w:b/>
          <w:bCs/>
          <w:kern w:val="2"/>
          <w:sz w:val="24"/>
          <w:lang w:eastAsia="zh-CN"/>
        </w:rPr>
      </w:pPr>
      <w:r>
        <w:rPr>
          <w:rFonts w:hint="eastAsia" w:ascii="宋体" w:hAnsi="宋体"/>
          <w:b/>
          <w:bCs/>
          <w:kern w:val="2"/>
          <w:sz w:val="24"/>
          <w:lang w:eastAsia="zh-CN"/>
        </w:rPr>
        <w:t>（三）项目组及施工人员配备（13分）</w:t>
      </w:r>
    </w:p>
    <w:p w14:paraId="04A6AD4E">
      <w:pPr>
        <w:spacing w:after="0" w:line="360" w:lineRule="auto"/>
        <w:ind w:firstLine="472" w:firstLineChars="200"/>
        <w:rPr>
          <w:rFonts w:hint="eastAsia" w:ascii="宋体" w:hAnsi="宋体" w:cs="宋体"/>
          <w:spacing w:val="-2"/>
          <w:kern w:val="2"/>
          <w:sz w:val="24"/>
          <w:lang w:eastAsia="zh-CN"/>
        </w:rPr>
      </w:pPr>
      <w:r>
        <w:rPr>
          <w:rFonts w:hint="eastAsia" w:ascii="宋体" w:hAnsi="宋体" w:cs="宋体"/>
          <w:spacing w:val="-2"/>
          <w:kern w:val="2"/>
          <w:sz w:val="24"/>
          <w:lang w:eastAsia="zh-CN"/>
        </w:rPr>
        <w:t>1.配备</w:t>
      </w:r>
      <w:r>
        <w:rPr>
          <w:rFonts w:ascii="宋体" w:hAnsi="宋体" w:cs="宋体"/>
          <w:spacing w:val="-2"/>
          <w:kern w:val="2"/>
          <w:sz w:val="24"/>
          <w:lang w:eastAsia="zh-CN"/>
        </w:rPr>
        <w:t>专职</w:t>
      </w:r>
      <w:r>
        <w:rPr>
          <w:rFonts w:hint="eastAsia" w:ascii="宋体" w:hAnsi="宋体" w:cs="宋体"/>
          <w:spacing w:val="-2"/>
          <w:kern w:val="2"/>
          <w:sz w:val="24"/>
          <w:lang w:eastAsia="zh-CN"/>
        </w:rPr>
        <w:t>安全员（提供安全C证）、</w:t>
      </w:r>
      <w:r>
        <w:rPr>
          <w:rFonts w:ascii="宋体" w:hAnsi="宋体" w:cs="宋体"/>
          <w:spacing w:val="-2"/>
          <w:kern w:val="2"/>
          <w:sz w:val="24"/>
          <w:lang w:eastAsia="zh-CN"/>
        </w:rPr>
        <w:t>施工员、</w:t>
      </w:r>
      <w:r>
        <w:rPr>
          <w:rFonts w:hint="eastAsia" w:ascii="宋体" w:hAnsi="宋体" w:cs="宋体"/>
          <w:spacing w:val="-2"/>
          <w:kern w:val="2"/>
          <w:sz w:val="24"/>
          <w:lang w:eastAsia="zh-CN"/>
        </w:rPr>
        <w:t>质量员的，每种人员得1分，最多得3分；</w:t>
      </w:r>
    </w:p>
    <w:p w14:paraId="09533852">
      <w:pPr>
        <w:spacing w:after="0" w:line="360" w:lineRule="auto"/>
        <w:ind w:firstLine="472" w:firstLineChars="200"/>
        <w:rPr>
          <w:rFonts w:hint="eastAsia" w:ascii="宋体" w:hAnsi="宋体" w:cs="宋体"/>
          <w:spacing w:val="-2"/>
          <w:kern w:val="2"/>
          <w:sz w:val="24"/>
          <w:lang w:eastAsia="zh-CN"/>
        </w:rPr>
      </w:pPr>
      <w:r>
        <w:rPr>
          <w:rFonts w:hint="eastAsia" w:ascii="宋体" w:hAnsi="宋体" w:cs="宋体"/>
          <w:spacing w:val="-2"/>
          <w:kern w:val="2"/>
          <w:sz w:val="24"/>
          <w:lang w:eastAsia="zh-CN"/>
        </w:rPr>
        <w:t>2.具有应急管理部门颁发的有效期内的高压电工作业证人员16-20人得1分，21-25人得2分，26人及以上得3分；</w:t>
      </w:r>
    </w:p>
    <w:p w14:paraId="58A450FE">
      <w:pPr>
        <w:spacing w:after="0" w:line="360" w:lineRule="auto"/>
        <w:ind w:firstLine="472" w:firstLineChars="200"/>
        <w:rPr>
          <w:rFonts w:hint="eastAsia" w:ascii="宋体" w:hAnsi="宋体" w:cs="宋体"/>
          <w:spacing w:val="-2"/>
          <w:kern w:val="2"/>
          <w:sz w:val="24"/>
          <w:lang w:eastAsia="zh-CN"/>
        </w:rPr>
      </w:pPr>
      <w:r>
        <w:rPr>
          <w:rFonts w:hint="eastAsia" w:ascii="宋体" w:hAnsi="宋体" w:cs="宋体"/>
          <w:spacing w:val="-2"/>
          <w:kern w:val="2"/>
          <w:sz w:val="24"/>
          <w:lang w:eastAsia="zh-CN"/>
        </w:rPr>
        <w:t>3.具有应急管理部门颁发的有效期内的高处作业证人员6-10人得1分，11-15人得2分，16人及以上得3分；</w:t>
      </w:r>
    </w:p>
    <w:p w14:paraId="32C40ABF">
      <w:pPr>
        <w:spacing w:after="0" w:line="360" w:lineRule="auto"/>
        <w:ind w:firstLine="472" w:firstLineChars="200"/>
        <w:rPr>
          <w:rFonts w:hint="eastAsia" w:ascii="宋体" w:hAnsi="宋体" w:cs="宋体"/>
          <w:spacing w:val="-2"/>
          <w:kern w:val="2"/>
          <w:sz w:val="24"/>
          <w:lang w:eastAsia="zh-CN"/>
        </w:rPr>
      </w:pPr>
      <w:r>
        <w:rPr>
          <w:rFonts w:hint="eastAsia" w:ascii="宋体" w:hAnsi="宋体" w:cs="宋体"/>
          <w:spacing w:val="-2"/>
          <w:kern w:val="2"/>
          <w:sz w:val="24"/>
          <w:lang w:eastAsia="zh-CN"/>
        </w:rPr>
        <w:t>4.具有应急管理部门颁发的有效期内的电力电缆作业、电气试验作业、继电保护作业特种作业证，且每种操作项目不少于2人，满足上述条件的得基本分1分。每个操作项目每增加1人得0.5分，本项最高得4分；</w:t>
      </w:r>
    </w:p>
    <w:p w14:paraId="25DD1F80">
      <w:pPr>
        <w:spacing w:after="0" w:line="360" w:lineRule="auto"/>
        <w:ind w:firstLine="480" w:firstLineChars="200"/>
        <w:jc w:val="both"/>
        <w:rPr>
          <w:kern w:val="2"/>
          <w:sz w:val="21"/>
          <w:lang w:eastAsia="zh-CN"/>
        </w:rPr>
      </w:pPr>
      <w:r>
        <w:rPr>
          <w:rFonts w:hint="eastAsia" w:ascii="宋体" w:hAnsi="宋体"/>
          <w:kern w:val="2"/>
          <w:sz w:val="24"/>
          <w:lang w:eastAsia="zh-CN"/>
        </w:rPr>
        <w:t>提供以上人员资格证书复印件，社保缴纳证明，否则不得分。</w:t>
      </w:r>
    </w:p>
    <w:p w14:paraId="2F0E2A5F">
      <w:pPr>
        <w:spacing w:after="0" w:line="360" w:lineRule="auto"/>
        <w:ind w:firstLine="482" w:firstLineChars="200"/>
        <w:rPr>
          <w:rFonts w:hint="eastAsia" w:ascii="宋体" w:hAnsi="宋体"/>
          <w:b/>
          <w:bCs/>
          <w:kern w:val="2"/>
          <w:sz w:val="24"/>
          <w:lang w:eastAsia="zh-CN"/>
        </w:rPr>
      </w:pPr>
      <w:r>
        <w:rPr>
          <w:rFonts w:hint="eastAsia" w:ascii="宋体" w:hAnsi="宋体"/>
          <w:b/>
          <w:bCs/>
          <w:kern w:val="2"/>
          <w:sz w:val="24"/>
          <w:lang w:eastAsia="zh-CN"/>
        </w:rPr>
        <w:t>（四）企业实力（7分）</w:t>
      </w:r>
    </w:p>
    <w:p w14:paraId="013755CD">
      <w:pPr>
        <w:spacing w:after="0" w:line="360" w:lineRule="auto"/>
        <w:ind w:firstLine="480" w:firstLineChars="200"/>
        <w:jc w:val="both"/>
        <w:rPr>
          <w:rFonts w:hint="eastAsia" w:ascii="宋体" w:hAnsi="宋体"/>
          <w:kern w:val="2"/>
          <w:sz w:val="24"/>
          <w:lang w:eastAsia="zh-CN"/>
        </w:rPr>
      </w:pPr>
      <w:r>
        <w:rPr>
          <w:rFonts w:hint="eastAsia" w:ascii="宋体" w:hAnsi="宋体"/>
          <w:kern w:val="2"/>
          <w:sz w:val="24"/>
          <w:lang w:eastAsia="zh-CN"/>
        </w:rPr>
        <w:t>1.同时具有有效的质量管理体系认证、环境管理体系认证、职业健康安全管理体系认证的得</w:t>
      </w:r>
      <w:r>
        <w:rPr>
          <w:rFonts w:hint="eastAsia" w:ascii="宋体" w:hAnsi="宋体"/>
          <w:kern w:val="2"/>
          <w:sz w:val="24"/>
          <w:lang w:val="en-US" w:eastAsia="zh-CN"/>
        </w:rPr>
        <w:t>5</w:t>
      </w:r>
      <w:r>
        <w:rPr>
          <w:rFonts w:hint="eastAsia" w:ascii="宋体" w:hAnsi="宋体"/>
          <w:kern w:val="2"/>
          <w:sz w:val="24"/>
          <w:lang w:eastAsia="zh-CN"/>
        </w:rPr>
        <w:t>分，否则不得分。</w:t>
      </w:r>
    </w:p>
    <w:p w14:paraId="494A99CA">
      <w:pPr>
        <w:spacing w:after="0" w:line="360" w:lineRule="auto"/>
        <w:ind w:firstLine="480" w:firstLineChars="200"/>
        <w:jc w:val="both"/>
        <w:rPr>
          <w:rFonts w:hint="eastAsia" w:ascii="宋体" w:hAnsi="宋体"/>
          <w:kern w:val="2"/>
          <w:sz w:val="24"/>
          <w:lang w:eastAsia="zh-CN"/>
        </w:rPr>
      </w:pPr>
      <w:r>
        <w:rPr>
          <w:rFonts w:hint="eastAsia" w:ascii="宋体" w:hAnsi="宋体"/>
          <w:kern w:val="2"/>
          <w:sz w:val="24"/>
          <w:lang w:val="en-US" w:eastAsia="zh-CN"/>
        </w:rPr>
        <w:t>2</w:t>
      </w:r>
      <w:r>
        <w:rPr>
          <w:rFonts w:hint="eastAsia" w:ascii="宋体" w:hAnsi="宋体"/>
          <w:kern w:val="2"/>
          <w:sz w:val="24"/>
          <w:lang w:eastAsia="zh-CN"/>
        </w:rPr>
        <w:t>.具有有效的绿色</w:t>
      </w:r>
      <w:r>
        <w:rPr>
          <w:rFonts w:hint="eastAsia" w:ascii="宋体" w:hAnsi="宋体"/>
          <w:kern w:val="2"/>
          <w:sz w:val="24"/>
          <w:lang w:val="en-US" w:eastAsia="zh-CN"/>
        </w:rPr>
        <w:t>企业</w:t>
      </w:r>
      <w:r>
        <w:rPr>
          <w:rFonts w:hint="eastAsia" w:ascii="宋体" w:hAnsi="宋体"/>
          <w:kern w:val="2"/>
          <w:sz w:val="24"/>
          <w:lang w:eastAsia="zh-CN"/>
        </w:rPr>
        <w:t>认证证书的得</w:t>
      </w:r>
      <w:r>
        <w:rPr>
          <w:rFonts w:hint="eastAsia" w:ascii="宋体" w:hAnsi="宋体"/>
          <w:kern w:val="2"/>
          <w:sz w:val="24"/>
          <w:lang w:val="en-US" w:eastAsia="zh-CN"/>
        </w:rPr>
        <w:t>2</w:t>
      </w:r>
      <w:r>
        <w:rPr>
          <w:rFonts w:hint="eastAsia" w:ascii="宋体" w:hAnsi="宋体"/>
          <w:kern w:val="2"/>
          <w:sz w:val="24"/>
          <w:lang w:eastAsia="zh-CN"/>
        </w:rPr>
        <w:t>分。</w:t>
      </w:r>
    </w:p>
    <w:p w14:paraId="0CAC62AA">
      <w:pPr>
        <w:spacing w:after="0" w:line="360" w:lineRule="auto"/>
        <w:ind w:firstLine="480" w:firstLineChars="200"/>
        <w:jc w:val="both"/>
        <w:rPr>
          <w:rFonts w:hint="eastAsia" w:ascii="宋体" w:hAnsi="宋体"/>
          <w:kern w:val="2"/>
          <w:sz w:val="24"/>
          <w:lang w:eastAsia="zh-CN"/>
        </w:rPr>
      </w:pPr>
      <w:r>
        <w:rPr>
          <w:rFonts w:hint="eastAsia" w:ascii="宋体" w:hAnsi="宋体"/>
          <w:kern w:val="2"/>
          <w:sz w:val="24"/>
          <w:lang w:eastAsia="zh-CN"/>
        </w:rPr>
        <w:t>提供证书复印件，否则不得分。</w:t>
      </w:r>
    </w:p>
    <w:p w14:paraId="25316845">
      <w:pPr>
        <w:spacing w:after="0" w:line="360" w:lineRule="auto"/>
        <w:ind w:firstLine="482" w:firstLineChars="200"/>
        <w:jc w:val="both"/>
        <w:rPr>
          <w:rFonts w:hint="eastAsia" w:ascii="宋体" w:hAnsi="宋体" w:cs="宋体"/>
          <w:b/>
          <w:bCs/>
          <w:kern w:val="2"/>
          <w:sz w:val="24"/>
          <w:szCs w:val="24"/>
          <w:lang w:eastAsia="zh-CN"/>
        </w:rPr>
      </w:pPr>
      <w:r>
        <w:rPr>
          <w:rFonts w:hint="eastAsia" w:ascii="宋体" w:hAnsi="宋体" w:cs="宋体"/>
          <w:b/>
          <w:bCs/>
          <w:kern w:val="2"/>
          <w:sz w:val="24"/>
          <w:szCs w:val="24"/>
          <w:lang w:eastAsia="zh-CN"/>
        </w:rPr>
        <w:t>（二）施工组织设计：30分</w:t>
      </w:r>
    </w:p>
    <w:p w14:paraId="7379E74B">
      <w:pPr>
        <w:tabs>
          <w:tab w:val="left" w:pos="900"/>
        </w:tabs>
        <w:spacing w:after="0" w:line="360" w:lineRule="auto"/>
        <w:ind w:firstLine="482" w:firstLineChars="200"/>
        <w:jc w:val="both"/>
        <w:rPr>
          <w:rFonts w:hint="eastAsia" w:ascii="宋体" w:hAnsi="宋体" w:cs="宋体"/>
          <w:b/>
          <w:bCs/>
          <w:kern w:val="2"/>
          <w:sz w:val="24"/>
          <w:szCs w:val="24"/>
          <w:lang w:eastAsia="zh-CN"/>
        </w:rPr>
      </w:pPr>
      <w:r>
        <w:rPr>
          <w:rFonts w:hint="eastAsia" w:ascii="宋体" w:hAnsi="宋体" w:cs="宋体"/>
          <w:b/>
          <w:bCs/>
          <w:kern w:val="2"/>
          <w:sz w:val="24"/>
          <w:szCs w:val="24"/>
          <w:lang w:eastAsia="zh-CN"/>
        </w:rPr>
        <w:t>1.施工方案及工程质量保证措施（6分）</w:t>
      </w:r>
    </w:p>
    <w:p w14:paraId="26AB2C59">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val="zh-CN" w:eastAsia="zh-CN"/>
        </w:rPr>
        <w:t>供应商</w:t>
      </w:r>
      <w:r>
        <w:rPr>
          <w:rFonts w:hint="eastAsia" w:ascii="宋体" w:hAnsi="宋体" w:cs="宋体"/>
          <w:kern w:val="2"/>
          <w:sz w:val="24"/>
          <w:szCs w:val="24"/>
          <w:lang w:eastAsia="zh-CN"/>
        </w:rPr>
        <w:t>根据本项目的实际需求及自身情况编制完整的施工方案及工程质量保证措施（含质保体系、技术保证、材料保证等）方面：</w:t>
      </w:r>
    </w:p>
    <w:p w14:paraId="0FD10ECD">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措施方案全面详细、科学合理，具体可行、针对性强，能完全满足项目实施要求，得6-5分；</w:t>
      </w:r>
    </w:p>
    <w:p w14:paraId="6231985A">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措施方案内容较简单，合理性，可行性，针对性一般，较能满足项目实施要求，得4-3分；</w:t>
      </w:r>
    </w:p>
    <w:p w14:paraId="23AE9248">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措施方案内容差，合理性，可行性，针对性差，基本能满足项目实施要求，得2-1分；</w:t>
      </w:r>
    </w:p>
    <w:p w14:paraId="7B2EA8F9">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其余不得分。</w:t>
      </w:r>
    </w:p>
    <w:p w14:paraId="481549F9">
      <w:pPr>
        <w:tabs>
          <w:tab w:val="left" w:pos="900"/>
        </w:tabs>
        <w:spacing w:after="0" w:line="360" w:lineRule="auto"/>
        <w:ind w:firstLine="482" w:firstLineChars="200"/>
        <w:jc w:val="both"/>
        <w:rPr>
          <w:rFonts w:hint="eastAsia" w:ascii="宋体" w:hAnsi="宋体" w:cs="宋体"/>
          <w:kern w:val="2"/>
          <w:sz w:val="24"/>
          <w:szCs w:val="24"/>
          <w:lang w:eastAsia="zh-CN"/>
        </w:rPr>
      </w:pPr>
      <w:r>
        <w:rPr>
          <w:rFonts w:hint="eastAsia" w:ascii="宋体" w:hAnsi="宋体" w:cs="宋体"/>
          <w:b/>
          <w:bCs/>
          <w:kern w:val="2"/>
          <w:sz w:val="24"/>
          <w:szCs w:val="24"/>
          <w:lang w:eastAsia="zh-CN"/>
        </w:rPr>
        <w:t>2.安全施工方案及防控措施（6分）</w:t>
      </w:r>
    </w:p>
    <w:p w14:paraId="73C3B67D">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val="zh-CN" w:eastAsia="zh-CN"/>
        </w:rPr>
        <w:t>供应商</w:t>
      </w:r>
      <w:r>
        <w:rPr>
          <w:rFonts w:hint="eastAsia" w:ascii="宋体" w:hAnsi="宋体" w:cs="宋体"/>
          <w:kern w:val="2"/>
          <w:sz w:val="24"/>
          <w:szCs w:val="24"/>
          <w:lang w:eastAsia="zh-CN"/>
        </w:rPr>
        <w:t>根据本项目的实际需求及自身情况编制相应安全施工方案及防控措施，方案内容包括但不限于安全施工方案、文明施工、环境保护、消防等方面：</w:t>
      </w:r>
    </w:p>
    <w:p w14:paraId="363CBBDE">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措施方案全面详细、科学合理，具体可行、针对性强，能完全满足项目实施要求，得6-5分；</w:t>
      </w:r>
    </w:p>
    <w:p w14:paraId="53000133">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措施方案内容较简单，合理性，可行性，针对性一般，较能满足项目实施要求，得4-3分；</w:t>
      </w:r>
    </w:p>
    <w:p w14:paraId="423ADB4B">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措施方案内容差，合理性，可行性，针对性差，基本能满足项目实施要求，得2-1分；</w:t>
      </w:r>
    </w:p>
    <w:p w14:paraId="66FB96F3">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其余不得分。</w:t>
      </w:r>
    </w:p>
    <w:p w14:paraId="5CDAC5C9">
      <w:pPr>
        <w:tabs>
          <w:tab w:val="left" w:pos="900"/>
        </w:tabs>
        <w:spacing w:after="0" w:line="360" w:lineRule="auto"/>
        <w:ind w:firstLine="482" w:firstLineChars="200"/>
        <w:jc w:val="both"/>
        <w:rPr>
          <w:rFonts w:hint="eastAsia" w:ascii="宋体" w:hAnsi="宋体" w:cs="宋体"/>
          <w:b/>
          <w:bCs/>
          <w:kern w:val="2"/>
          <w:sz w:val="24"/>
          <w:szCs w:val="24"/>
          <w:lang w:eastAsia="zh-CN"/>
        </w:rPr>
      </w:pPr>
      <w:r>
        <w:rPr>
          <w:rFonts w:hint="eastAsia" w:ascii="宋体" w:hAnsi="宋体" w:cs="宋体"/>
          <w:b/>
          <w:bCs/>
          <w:kern w:val="2"/>
          <w:sz w:val="24"/>
          <w:szCs w:val="24"/>
          <w:lang w:eastAsia="zh-CN"/>
        </w:rPr>
        <w:t>3.施工进度计划方案及控制措施（6分）</w:t>
      </w:r>
    </w:p>
    <w:p w14:paraId="4FE2A43C">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val="zh-CN" w:eastAsia="zh-CN"/>
        </w:rPr>
        <w:t>供应商</w:t>
      </w:r>
      <w:r>
        <w:rPr>
          <w:rFonts w:hint="eastAsia" w:ascii="宋体" w:hAnsi="宋体" w:cs="宋体"/>
          <w:kern w:val="2"/>
          <w:sz w:val="24"/>
          <w:szCs w:val="24"/>
          <w:lang w:eastAsia="zh-CN"/>
        </w:rPr>
        <w:t>根据本项目的实际需求及自身情况编制施工计划方案，方案内容包括但不限于网络进度计划图或表以及进度保证措施等方面：</w:t>
      </w:r>
    </w:p>
    <w:p w14:paraId="44C36112">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措施方案全面详细、科学合理，具体可行、针对性强，能完全满足项目实施要求，得6-5分；</w:t>
      </w:r>
    </w:p>
    <w:p w14:paraId="166FD020">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措施方案内容较简单，合理性，可行性，针对性一般，较能满足项目实施要求，得4-3分；</w:t>
      </w:r>
    </w:p>
    <w:p w14:paraId="5A901445">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措施方案内容差，合理性，可行性，针对性差，基本能满足项目实施要求，得2-1分；</w:t>
      </w:r>
    </w:p>
    <w:p w14:paraId="64668131">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其余不得分。</w:t>
      </w:r>
    </w:p>
    <w:p w14:paraId="4B7724BE">
      <w:pPr>
        <w:widowControl/>
        <w:spacing w:after="0" w:line="360" w:lineRule="auto"/>
        <w:ind w:firstLine="482" w:firstLineChars="200"/>
        <w:jc w:val="both"/>
        <w:rPr>
          <w:rFonts w:hint="eastAsia" w:ascii="宋体" w:hAnsi="宋体" w:cs="宋体"/>
          <w:b/>
          <w:bCs/>
          <w:kern w:val="2"/>
          <w:sz w:val="24"/>
          <w:szCs w:val="24"/>
          <w:lang w:eastAsia="zh-CN"/>
        </w:rPr>
      </w:pPr>
      <w:r>
        <w:rPr>
          <w:rFonts w:hint="eastAsia" w:ascii="宋体" w:hAnsi="宋体" w:cs="宋体"/>
          <w:b/>
          <w:bCs/>
          <w:kern w:val="2"/>
          <w:sz w:val="24"/>
          <w:szCs w:val="24"/>
          <w:lang w:eastAsia="zh-CN"/>
        </w:rPr>
        <w:t>4.资源配置计划（6分）</w:t>
      </w:r>
    </w:p>
    <w:p w14:paraId="34C9751A">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val="zh-CN" w:eastAsia="zh-CN"/>
        </w:rPr>
        <w:t>供应商</w:t>
      </w:r>
      <w:r>
        <w:rPr>
          <w:rFonts w:hint="eastAsia" w:ascii="宋体" w:hAnsi="宋体" w:cs="宋体"/>
          <w:kern w:val="2"/>
          <w:sz w:val="24"/>
          <w:szCs w:val="24"/>
          <w:lang w:eastAsia="zh-CN"/>
        </w:rPr>
        <w:t>根据本项目的实际需求及自身情况提供管理及作业人员、材料供应及施工机具等资源配置方案：</w:t>
      </w:r>
    </w:p>
    <w:p w14:paraId="2F9E2563">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各种人材机资源配置充分，进场计划合理，现场协调管理方案优秀，完全满足项目实施要求，得6-5分；</w:t>
      </w:r>
    </w:p>
    <w:p w14:paraId="610D109E">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资源配置，进场计划，现场协调管理方案一般，较能满足项目实施要求，得4-3分；</w:t>
      </w:r>
    </w:p>
    <w:p w14:paraId="4D436C71">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资源配置，进场计划，现场协调管理方案较差，基本满足项目实施要求，得2-1分；</w:t>
      </w:r>
    </w:p>
    <w:p w14:paraId="2EA40C3C">
      <w:pPr>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其余不得分。</w:t>
      </w:r>
    </w:p>
    <w:p w14:paraId="667623D3">
      <w:pPr>
        <w:tabs>
          <w:tab w:val="left" w:pos="900"/>
        </w:tabs>
        <w:spacing w:after="0" w:line="360" w:lineRule="auto"/>
        <w:ind w:firstLine="482" w:firstLineChars="200"/>
        <w:jc w:val="both"/>
        <w:rPr>
          <w:rFonts w:hint="eastAsia" w:ascii="宋体" w:hAnsi="宋体" w:cs="宋体"/>
          <w:b/>
          <w:bCs/>
          <w:kern w:val="2"/>
          <w:sz w:val="24"/>
          <w:szCs w:val="24"/>
          <w:lang w:eastAsia="zh-CN"/>
        </w:rPr>
      </w:pPr>
      <w:r>
        <w:rPr>
          <w:rFonts w:hint="eastAsia" w:ascii="宋体" w:hAnsi="宋体" w:cs="宋体"/>
          <w:b/>
          <w:bCs/>
          <w:kern w:val="2"/>
          <w:sz w:val="24"/>
          <w:szCs w:val="24"/>
          <w:lang w:eastAsia="zh-CN"/>
        </w:rPr>
        <w:t>5.实施项目重点、难点和解决方案（3分）</w:t>
      </w:r>
    </w:p>
    <w:p w14:paraId="5D49412C">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val="zh-CN" w:eastAsia="zh-CN"/>
        </w:rPr>
        <w:t>供应商</w:t>
      </w:r>
      <w:r>
        <w:rPr>
          <w:rFonts w:hint="eastAsia" w:ascii="宋体" w:hAnsi="宋体" w:cs="宋体"/>
          <w:kern w:val="2"/>
          <w:sz w:val="24"/>
          <w:szCs w:val="24"/>
          <w:lang w:eastAsia="zh-CN"/>
        </w:rPr>
        <w:t>根据本项目的实际需求及自身情况提供针对本项目的关键施工技术、工艺及工程项目实施的重点、难点和解决方案等方面：</w:t>
      </w:r>
    </w:p>
    <w:p w14:paraId="5E5627EC">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关键施工技术的重难点分析到位，针对性强，解决方案合理有效的，得3分；</w:t>
      </w:r>
    </w:p>
    <w:p w14:paraId="2A467B00">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关键施工技术的重难点针对性一般，解决方案一般的，得2分；</w:t>
      </w:r>
    </w:p>
    <w:p w14:paraId="6CE988E9">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关键施工技术的重难点针对性较差，解决方案较差，得1分；</w:t>
      </w:r>
    </w:p>
    <w:p w14:paraId="563651A6">
      <w:pPr>
        <w:widowControl/>
        <w:spacing w:after="0" w:line="360" w:lineRule="auto"/>
        <w:ind w:firstLine="480" w:firstLineChars="200"/>
        <w:jc w:val="both"/>
        <w:rPr>
          <w:rFonts w:hint="eastAsia" w:ascii="宋体" w:hAnsi="宋体" w:cs="宋体"/>
          <w:kern w:val="2"/>
          <w:sz w:val="24"/>
          <w:szCs w:val="24"/>
          <w:lang w:val="zh-CN" w:eastAsia="zh-CN"/>
        </w:rPr>
      </w:pPr>
      <w:r>
        <w:rPr>
          <w:rFonts w:hint="eastAsia" w:ascii="宋体" w:hAnsi="宋体" w:cs="宋体"/>
          <w:kern w:val="2"/>
          <w:sz w:val="24"/>
          <w:szCs w:val="24"/>
          <w:lang w:eastAsia="zh-CN"/>
        </w:rPr>
        <w:t>其余不得分。</w:t>
      </w:r>
    </w:p>
    <w:p w14:paraId="7CE722A5">
      <w:pPr>
        <w:spacing w:after="0" w:line="360" w:lineRule="auto"/>
        <w:ind w:firstLine="482" w:firstLineChars="200"/>
        <w:jc w:val="both"/>
        <w:rPr>
          <w:rFonts w:hint="eastAsia" w:ascii="宋体" w:hAnsi="宋体" w:cs="宋体"/>
          <w:b/>
          <w:bCs/>
          <w:kern w:val="2"/>
          <w:sz w:val="24"/>
          <w:szCs w:val="24"/>
          <w:lang w:eastAsia="zh-CN"/>
        </w:rPr>
      </w:pPr>
      <w:r>
        <w:rPr>
          <w:rFonts w:hint="eastAsia" w:ascii="宋体" w:hAnsi="宋体"/>
          <w:b/>
          <w:bCs/>
          <w:kern w:val="2"/>
          <w:sz w:val="24"/>
          <w:szCs w:val="24"/>
          <w:lang w:eastAsia="zh-CN"/>
        </w:rPr>
        <w:t>6.质量保修服务</w:t>
      </w:r>
      <w:r>
        <w:rPr>
          <w:rFonts w:hint="eastAsia" w:ascii="宋体" w:hAnsi="宋体" w:cs="宋体"/>
          <w:b/>
          <w:bCs/>
          <w:kern w:val="2"/>
          <w:sz w:val="24"/>
          <w:szCs w:val="24"/>
          <w:lang w:eastAsia="zh-CN"/>
        </w:rPr>
        <w:t>（3分）</w:t>
      </w:r>
    </w:p>
    <w:p w14:paraId="4A290FDF">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val="zh-CN" w:eastAsia="zh-CN"/>
        </w:rPr>
        <w:t>供应商</w:t>
      </w:r>
      <w:r>
        <w:rPr>
          <w:rFonts w:hint="eastAsia" w:ascii="宋体" w:hAnsi="宋体" w:cs="宋体"/>
          <w:kern w:val="2"/>
          <w:sz w:val="24"/>
          <w:szCs w:val="24"/>
          <w:lang w:eastAsia="zh-CN"/>
        </w:rPr>
        <w:t>根据本项目的实际需求及自身情况编制相应的质量保修服务方案，方案内容包括但不限于拟投入质量保修的技术团队、设备设施、可能突发的情况以及相对应的解决措施、质量保修服务响应时间的及时性等方面：</w:t>
      </w:r>
    </w:p>
    <w:p w14:paraId="2452C8A3">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方案考虑周全、可行性强、服务体系完善、响应时间及时得3分；</w:t>
      </w:r>
    </w:p>
    <w:p w14:paraId="16E7DAE7">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方案考虑周全性一般、可行性一般、服务体系完善性、响应时间一般得2分；</w:t>
      </w:r>
    </w:p>
    <w:p w14:paraId="57C5808C">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方案考虑周全性较差、可行性、服务体系完善性、响应时间较差得1分；</w:t>
      </w:r>
    </w:p>
    <w:p w14:paraId="4EE15047">
      <w:pPr>
        <w:widowControl/>
        <w:spacing w:after="0" w:line="360" w:lineRule="auto"/>
        <w:ind w:firstLine="480" w:firstLineChars="200"/>
        <w:jc w:val="both"/>
        <w:rPr>
          <w:rFonts w:hint="eastAsia" w:ascii="宋体" w:hAnsi="宋体" w:cs="宋体"/>
          <w:kern w:val="2"/>
          <w:sz w:val="24"/>
          <w:szCs w:val="24"/>
          <w:lang w:eastAsia="zh-CN"/>
        </w:rPr>
      </w:pPr>
      <w:r>
        <w:rPr>
          <w:rFonts w:hint="eastAsia" w:ascii="宋体" w:hAnsi="宋体" w:cs="宋体"/>
          <w:kern w:val="2"/>
          <w:sz w:val="24"/>
          <w:szCs w:val="24"/>
          <w:lang w:eastAsia="zh-CN"/>
        </w:rPr>
        <w:t>其余不得分。</w:t>
      </w:r>
    </w:p>
    <w:p w14:paraId="34D19055">
      <w:pPr>
        <w:autoSpaceDE w:val="0"/>
        <w:autoSpaceDN w:val="0"/>
        <w:adjustRightInd w:val="0"/>
        <w:rPr>
          <w:rFonts w:ascii="宋体" w:hAnsi="Times New Roman" w:cs="宋体"/>
          <w:sz w:val="24"/>
          <w:szCs w:val="24"/>
          <w:lang w:eastAsia="zh-CN"/>
        </w:rPr>
      </w:pPr>
    </w:p>
    <w:p w14:paraId="669ACCDE">
      <w:pPr>
        <w:spacing w:after="0" w:line="360" w:lineRule="auto"/>
        <w:ind w:firstLine="480" w:firstLineChars="200"/>
        <w:rPr>
          <w:lang w:eastAsia="zh-CN"/>
        </w:rPr>
      </w:pPr>
      <w:r>
        <w:rPr>
          <w:rFonts w:hint="eastAsia" w:ascii="宋体" w:hAnsi="宋体" w:cs="宋体"/>
          <w:kern w:val="2"/>
          <w:sz w:val="24"/>
          <w:szCs w:val="24"/>
          <w:lang w:eastAsia="zh-CN"/>
        </w:rPr>
        <w:t>综合得分相同的，确定报价较低的为中标候选人。综合得分和报价均相同的，抽签决定中标候选人。评标小组认为，中标候选人的报价或者某些分项报价明显不合理或者低于成本，有可能影响施工质量和不能诚信履约的，应当要求其在评审现场提供书面文件予以解释说明，并提交相关证明材料；否则，评标小组可以取消该投标人的中标候选资格，按顺序排在后面的中标候选投标人递补，以此类推。</w:t>
      </w:r>
    </w:p>
    <w:p w14:paraId="30058BAC">
      <w:pPr>
        <w:spacing w:line="360" w:lineRule="auto"/>
        <w:ind w:right="780"/>
        <w:rPr>
          <w:rFonts w:hint="eastAsia" w:ascii="宋体" w:hAnsi="宋体" w:cs="宋体"/>
          <w:bCs/>
          <w:sz w:val="24"/>
          <w:szCs w:val="24"/>
          <w:highlight w:val="none"/>
          <w:lang w:eastAsia="zh-CN"/>
        </w:rPr>
      </w:pPr>
      <w:r>
        <w:rPr>
          <w:rFonts w:ascii="宋体" w:hAnsi="宋体" w:cs="宋体"/>
          <w:b/>
          <w:sz w:val="21"/>
          <w:szCs w:val="21"/>
          <w:lang w:eastAsia="zh-CN"/>
        </w:rPr>
        <w:br w:type="page"/>
      </w:r>
      <w:bookmarkEnd w:id="2"/>
      <w:r>
        <w:rPr>
          <w:rFonts w:hint="eastAsia" w:ascii="宋体" w:hAnsi="宋体" w:cs="宋体"/>
          <w:bCs/>
          <w:sz w:val="24"/>
          <w:szCs w:val="24"/>
          <w:highlight w:val="none"/>
          <w:lang w:eastAsia="zh-CN"/>
        </w:rPr>
        <w:t>附件四：</w:t>
      </w:r>
    </w:p>
    <w:p w14:paraId="292F0A63">
      <w:pPr>
        <w:widowControl w:val="0"/>
        <w:shd w:val="clear" w:color="auto" w:fill="FFFFFF"/>
        <w:spacing w:before="0" w:beforeAutospacing="0" w:after="225" w:afterAutospacing="0" w:line="405" w:lineRule="atLeast"/>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投标报名申请表</w:t>
      </w:r>
    </w:p>
    <w:p w14:paraId="4C2DE9D0">
      <w:pPr>
        <w:widowControl w:val="0"/>
        <w:shd w:val="clear" w:color="auto" w:fill="FFFFFF"/>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项目名称：                                     项目编号：</w:t>
      </w:r>
    </w:p>
    <w:tbl>
      <w:tblPr>
        <w:tblStyle w:val="12"/>
        <w:tblW w:w="832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8320"/>
      </w:tblGrid>
      <w:tr w14:paraId="42E306E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8AEA460">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投标单位（公章）：</w:t>
            </w:r>
          </w:p>
        </w:tc>
      </w:tr>
      <w:tr w14:paraId="6776B2C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D69E8C7">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现委托             （被授权人的姓名）参与常州中瑞工程造价咨询有限公司此项目的投标报名工作。项目招标过程中答疑补充等相关文件都在会通过报名邮箱接收，本单位会及时关注相关邮件，以防遗漏，并承诺不以此为理由提出质疑。</w:t>
            </w:r>
          </w:p>
          <w:p w14:paraId="0EBB6AE1">
            <w:pPr>
              <w:widowControl w:val="0"/>
              <w:spacing w:before="0" w:beforeAutospacing="0" w:after="225" w:afterAutospacing="0" w:line="405" w:lineRule="atLeast"/>
              <w:jc w:val="center"/>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法人代表人（签字或盖章）：</w:t>
            </w:r>
          </w:p>
        </w:tc>
      </w:tr>
      <w:tr w14:paraId="46B26E0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6173629">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被授权人姓名：                           联系电话：</w:t>
            </w:r>
          </w:p>
        </w:tc>
      </w:tr>
      <w:tr w14:paraId="0AE000D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3F1C2D53">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第二代身份证号码：</w:t>
            </w:r>
          </w:p>
        </w:tc>
      </w:tr>
      <w:tr w14:paraId="5564E94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236AFA7">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接收招标文件指定电子邮箱：</w:t>
            </w:r>
          </w:p>
        </w:tc>
      </w:tr>
      <w:tr w14:paraId="75740D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5AAC6196">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注：本表以上内容填写均需打印，以下内容需由被授权人本人在代理机构报名时现场填写</w:t>
            </w:r>
          </w:p>
        </w:tc>
      </w:tr>
      <w:tr w14:paraId="37755E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5"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884F288">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报名时间：</w:t>
            </w:r>
          </w:p>
        </w:tc>
      </w:tr>
      <w:tr w14:paraId="446C12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90" w:hRule="atLeast"/>
          <w:jc w:val="center"/>
        </w:trPr>
        <w:tc>
          <w:tcPr>
            <w:tcW w:w="8320" w:type="dxa"/>
            <w:tcBorders>
              <w:top w:val="outset" w:color="auto" w:sz="6" w:space="0"/>
              <w:left w:val="outset" w:color="auto" w:sz="6" w:space="0"/>
              <w:bottom w:val="outset" w:color="auto" w:sz="6" w:space="0"/>
              <w:right w:val="outset" w:color="auto" w:sz="6" w:space="0"/>
            </w:tcBorders>
            <w:shd w:val="clear" w:color="auto" w:fill="FFFFFF"/>
            <w:vAlign w:val="center"/>
          </w:tcPr>
          <w:p w14:paraId="2FE71A39">
            <w:pPr>
              <w:widowControl w:val="0"/>
              <w:spacing w:before="0" w:beforeAutospacing="0" w:after="225" w:afterAutospacing="0" w:line="405" w:lineRule="atLeast"/>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被授权人签字：</w:t>
            </w:r>
          </w:p>
        </w:tc>
      </w:tr>
    </w:tbl>
    <w:p w14:paraId="71B3C43D">
      <w:pPr>
        <w:widowControl/>
        <w:shd w:val="clear" w:color="auto" w:fill="FFFFFF"/>
        <w:spacing w:line="330" w:lineRule="atLeast"/>
        <w:rPr>
          <w:rFonts w:hint="eastAsia" w:ascii="宋体" w:hAnsi="宋体" w:cs="宋体"/>
          <w:bCs/>
          <w:sz w:val="24"/>
          <w:szCs w:val="24"/>
          <w:highlight w:val="none"/>
          <w:lang w:eastAsia="zh-CN"/>
        </w:rPr>
      </w:pPr>
      <w:r>
        <w:rPr>
          <w:rFonts w:hint="eastAsia" w:ascii="宋体" w:hAnsi="宋体" w:cs="宋体"/>
          <w:bCs/>
          <w:sz w:val="24"/>
          <w:szCs w:val="24"/>
          <w:highlight w:val="none"/>
          <w:lang w:eastAsia="zh-CN"/>
        </w:rPr>
        <w:t> *注：投标单位应完整填写表格，并对内容的真实性和有效性负全部责任。</w:t>
      </w:r>
    </w:p>
    <w:p w14:paraId="2DE5F067">
      <w:pPr>
        <w:rPr>
          <w:rFonts w:ascii="宋体" w:hAnsi="宋体" w:cs="宋体"/>
          <w:b/>
          <w:sz w:val="21"/>
          <w:szCs w:val="21"/>
          <w:lang w:eastAsia="zh-CN"/>
        </w:rPr>
      </w:pPr>
      <w:r>
        <w:rPr>
          <w:rFonts w:ascii="宋体" w:hAnsi="宋体" w:cs="宋体"/>
          <w:b/>
          <w:sz w:val="21"/>
          <w:szCs w:val="21"/>
          <w:lang w:eastAsia="zh-CN"/>
        </w:rPr>
        <w:br w:type="page"/>
      </w:r>
    </w:p>
    <w:p w14:paraId="5BB23F22">
      <w:pPr>
        <w:spacing w:after="0" w:line="440" w:lineRule="exact"/>
        <w:ind w:right="207" w:rightChars="94" w:firstLine="488" w:firstLineChars="200"/>
        <w:rPr>
          <w:rFonts w:hint="eastAsia" w:ascii="宋体" w:hAnsi="宋体" w:cs="宋体"/>
          <w:spacing w:val="2"/>
          <w:sz w:val="24"/>
          <w:szCs w:val="24"/>
          <w:lang w:eastAsia="zh-CN"/>
        </w:rPr>
      </w:pPr>
      <w:r>
        <w:rPr>
          <w:rFonts w:hint="eastAsia" w:ascii="宋体" w:hAnsi="宋体" w:cs="宋体"/>
          <w:spacing w:val="2"/>
          <w:sz w:val="24"/>
          <w:szCs w:val="24"/>
          <w:lang w:eastAsia="zh-CN"/>
        </w:rPr>
        <w:t>附件</w:t>
      </w:r>
      <w:r>
        <w:rPr>
          <w:rFonts w:hint="eastAsia" w:ascii="宋体" w:hAnsi="宋体" w:cs="宋体"/>
          <w:spacing w:val="2"/>
          <w:sz w:val="24"/>
          <w:szCs w:val="24"/>
          <w:lang w:val="en-US" w:eastAsia="zh-CN"/>
        </w:rPr>
        <w:t>五</w:t>
      </w:r>
      <w:r>
        <w:rPr>
          <w:rFonts w:hint="eastAsia" w:ascii="宋体" w:hAnsi="宋体" w:cs="宋体"/>
          <w:spacing w:val="2"/>
          <w:sz w:val="24"/>
          <w:szCs w:val="24"/>
          <w:lang w:eastAsia="zh-CN"/>
        </w:rPr>
        <w:t>：</w:t>
      </w:r>
    </w:p>
    <w:p w14:paraId="602CD710">
      <w:pPr>
        <w:spacing w:after="0" w:line="440" w:lineRule="exact"/>
        <w:ind w:right="207" w:rightChars="94"/>
        <w:rPr>
          <w:rFonts w:hint="eastAsia" w:ascii="宋体" w:hAnsi="宋体" w:cs="宋体"/>
          <w:spacing w:val="2"/>
          <w:sz w:val="24"/>
          <w:szCs w:val="24"/>
          <w:lang w:eastAsia="zh-CN"/>
        </w:rPr>
      </w:pPr>
    </w:p>
    <w:p w14:paraId="3343673E">
      <w:pPr>
        <w:tabs>
          <w:tab w:val="left" w:pos="1140"/>
          <w:tab w:val="left" w:pos="1740"/>
        </w:tabs>
        <w:spacing w:line="440" w:lineRule="exact"/>
        <w:ind w:right="207" w:rightChars="94" w:firstLine="482" w:firstLineChars="200"/>
        <w:jc w:val="center"/>
        <w:rPr>
          <w:rFonts w:hint="eastAsia" w:ascii="宋体" w:hAnsi="宋体" w:cs="宋体"/>
          <w:b/>
          <w:sz w:val="24"/>
          <w:szCs w:val="24"/>
          <w:lang w:eastAsia="zh-CN"/>
        </w:rPr>
      </w:pPr>
      <w:r>
        <w:rPr>
          <w:rFonts w:hint="eastAsia" w:ascii="宋体" w:hAnsi="宋体" w:cs="宋体"/>
          <w:b/>
          <w:sz w:val="24"/>
          <w:szCs w:val="24"/>
          <w:lang w:eastAsia="zh-CN"/>
        </w:rPr>
        <w:t>投标承诺函</w:t>
      </w:r>
    </w:p>
    <w:p w14:paraId="3BDC749D">
      <w:pPr>
        <w:adjustRightInd w:val="0"/>
        <w:snapToGrid w:val="0"/>
        <w:spacing w:after="0" w:line="440" w:lineRule="exact"/>
        <w:ind w:firstLine="488" w:firstLineChars="200"/>
        <w:jc w:val="both"/>
        <w:rPr>
          <w:rFonts w:hint="eastAsia" w:ascii="宋体" w:hAnsi="宋体" w:cs="宋体"/>
          <w:spacing w:val="2"/>
          <w:sz w:val="24"/>
          <w:szCs w:val="24"/>
          <w:u w:val="single" w:color="000000"/>
          <w:lang w:eastAsia="zh-CN"/>
        </w:rPr>
      </w:pPr>
    </w:p>
    <w:p w14:paraId="137282A1">
      <w:pPr>
        <w:adjustRightInd w:val="0"/>
        <w:snapToGrid w:val="0"/>
        <w:spacing w:after="0" w:line="440" w:lineRule="exact"/>
        <w:ind w:firstLine="480" w:firstLineChars="200"/>
        <w:jc w:val="both"/>
        <w:rPr>
          <w:rFonts w:hint="eastAsia" w:ascii="宋体" w:hAnsi="宋体" w:cs="宋体"/>
          <w:spacing w:val="2"/>
          <w:sz w:val="24"/>
          <w:szCs w:val="24"/>
          <w:lang w:eastAsia="zh-CN"/>
        </w:rPr>
      </w:pPr>
      <w:r>
        <w:rPr>
          <w:rFonts w:hint="eastAsia" w:ascii="宋体" w:hAnsi="宋体" w:cs="宋体"/>
          <w:sz w:val="24"/>
          <w:szCs w:val="24"/>
          <w:u w:val="single"/>
          <w:lang w:eastAsia="zh-CN"/>
        </w:rPr>
        <w:t>常州中交建设发展有限公司</w:t>
      </w:r>
      <w:r>
        <w:rPr>
          <w:rFonts w:hint="eastAsia" w:ascii="宋体" w:hAnsi="宋体" w:cs="宋体"/>
          <w:spacing w:val="2"/>
          <w:sz w:val="24"/>
          <w:szCs w:val="24"/>
          <w:lang w:eastAsia="zh-CN"/>
        </w:rPr>
        <w:t>：</w:t>
      </w:r>
    </w:p>
    <w:p w14:paraId="2B0A1AEE">
      <w:pPr>
        <w:adjustRightInd w:val="0"/>
        <w:snapToGrid w:val="0"/>
        <w:spacing w:after="0" w:line="440" w:lineRule="exact"/>
        <w:ind w:firstLine="480" w:firstLineChars="200"/>
        <w:jc w:val="both"/>
        <w:rPr>
          <w:rFonts w:hint="eastAsia" w:ascii="宋体" w:hAnsi="宋体" w:cs="宋体"/>
          <w:sz w:val="24"/>
          <w:szCs w:val="24"/>
          <w:lang w:eastAsia="zh-CN"/>
        </w:rPr>
      </w:pPr>
    </w:p>
    <w:p w14:paraId="3DB7D808">
      <w:pPr>
        <w:pStyle w:val="28"/>
        <w:adjustRightInd w:val="0"/>
        <w:snapToGrid w:val="0"/>
        <w:spacing w:after="0" w:line="440" w:lineRule="exact"/>
        <w:ind w:firstLine="480"/>
        <w:jc w:val="both"/>
        <w:rPr>
          <w:rFonts w:hint="eastAsia" w:ascii="宋体" w:hAnsi="宋体" w:cs="宋体"/>
          <w:sz w:val="24"/>
          <w:szCs w:val="24"/>
          <w:lang w:eastAsia="zh-CN"/>
        </w:rPr>
      </w:pPr>
      <w:r>
        <w:rPr>
          <w:rFonts w:hint="eastAsia" w:ascii="宋体" w:hAnsi="宋体" w:cs="宋体"/>
          <w:sz w:val="24"/>
          <w:szCs w:val="24"/>
          <w:lang w:eastAsia="zh-CN"/>
        </w:rPr>
        <w:t>我对</w:t>
      </w:r>
      <w:r>
        <w:rPr>
          <w:rFonts w:hint="eastAsia" w:ascii="宋体" w:hAnsi="宋体" w:cs="宋体"/>
          <w:sz w:val="24"/>
          <w:szCs w:val="24"/>
          <w:u w:val="single"/>
          <w:lang w:eastAsia="zh-CN"/>
        </w:rPr>
        <w:t>武澄西路北侧、永武路东侧（QQ010508-01）地块项目供电施工</w:t>
      </w:r>
      <w:r>
        <w:rPr>
          <w:rFonts w:hint="eastAsia" w:ascii="宋体" w:hAnsi="宋体"/>
          <w:spacing w:val="-2"/>
          <w:kern w:val="2"/>
          <w:sz w:val="24"/>
          <w:szCs w:val="24"/>
          <w:lang w:eastAsia="zh-CN"/>
        </w:rPr>
        <w:t>工程项目</w:t>
      </w:r>
      <w:r>
        <w:rPr>
          <w:rFonts w:hint="eastAsia" w:ascii="宋体" w:hAnsi="宋体" w:cs="宋体"/>
          <w:sz w:val="24"/>
          <w:szCs w:val="24"/>
          <w:lang w:eastAsia="zh-CN"/>
        </w:rPr>
        <w:t>的投标，承诺如下：</w:t>
      </w:r>
    </w:p>
    <w:p w14:paraId="50E76DE4">
      <w:pPr>
        <w:pStyle w:val="28"/>
        <w:numPr>
          <w:ilvl w:val="0"/>
          <w:numId w:val="2"/>
        </w:numPr>
        <w:adjustRightInd w:val="0"/>
        <w:snapToGrid w:val="0"/>
        <w:spacing w:after="0" w:line="440" w:lineRule="exact"/>
        <w:ind w:firstLine="480"/>
        <w:jc w:val="both"/>
        <w:rPr>
          <w:rFonts w:hint="eastAsia" w:ascii="宋体" w:hAnsi="宋体" w:cs="宋体"/>
          <w:sz w:val="24"/>
          <w:szCs w:val="24"/>
          <w:lang w:eastAsia="zh-CN"/>
        </w:rPr>
      </w:pPr>
      <w:r>
        <w:rPr>
          <w:rFonts w:hint="eastAsia" w:ascii="宋体" w:hAnsi="宋体" w:cs="宋体"/>
          <w:sz w:val="24"/>
          <w:szCs w:val="24"/>
          <w:lang w:eastAsia="zh-CN"/>
        </w:rPr>
        <w:t>本项目计划开工日期为</w:t>
      </w:r>
      <w:r>
        <w:rPr>
          <w:rFonts w:hint="eastAsia" w:ascii="宋体" w:hAnsi="宋体" w:cs="宋体"/>
          <w:sz w:val="24"/>
          <w:szCs w:val="24"/>
          <w:u w:val="single"/>
          <w:lang w:eastAsia="zh-CN"/>
        </w:rPr>
        <w:t>202</w:t>
      </w:r>
      <w:r>
        <w:rPr>
          <w:rFonts w:hint="eastAsia" w:ascii="宋体" w:hAnsi="宋体" w:cs="宋体"/>
          <w:sz w:val="24"/>
          <w:szCs w:val="24"/>
          <w:u w:val="single"/>
          <w:lang w:val="en-US" w:eastAsia="zh-CN"/>
        </w:rPr>
        <w:t>6</w:t>
      </w:r>
      <w:r>
        <w:rPr>
          <w:rFonts w:hint="eastAsia" w:ascii="宋体" w:hAnsi="宋体" w:cs="宋体"/>
          <w:sz w:val="24"/>
          <w:szCs w:val="24"/>
          <w:u w:val="single"/>
          <w:lang w:eastAsia="zh-CN"/>
        </w:rPr>
        <w:t>年</w:t>
      </w:r>
      <w:r>
        <w:rPr>
          <w:rFonts w:hint="eastAsia" w:ascii="宋体" w:hAnsi="宋体" w:cs="宋体"/>
          <w:sz w:val="24"/>
          <w:szCs w:val="24"/>
          <w:u w:val="single"/>
          <w:lang w:val="en-US" w:eastAsia="zh-CN"/>
        </w:rPr>
        <w:t>2</w:t>
      </w:r>
      <w:r>
        <w:rPr>
          <w:rFonts w:hint="eastAsia" w:ascii="宋体" w:hAnsi="宋体" w:cs="宋体"/>
          <w:sz w:val="24"/>
          <w:szCs w:val="24"/>
          <w:lang w:eastAsia="zh-CN"/>
        </w:rPr>
        <w:t>月</w:t>
      </w:r>
      <w:r>
        <w:rPr>
          <w:rFonts w:hint="eastAsia" w:ascii="宋体" w:hAnsi="宋体" w:cs="宋体"/>
          <w:sz w:val="24"/>
          <w:szCs w:val="24"/>
          <w:u w:val="single"/>
          <w:lang w:val="en-US" w:eastAsia="zh-CN"/>
        </w:rPr>
        <w:t>1</w:t>
      </w:r>
      <w:r>
        <w:rPr>
          <w:rFonts w:hint="eastAsia" w:ascii="宋体" w:hAnsi="宋体" w:cs="宋体"/>
          <w:sz w:val="24"/>
          <w:szCs w:val="24"/>
          <w:lang w:eastAsia="zh-CN"/>
        </w:rPr>
        <w:t>日，</w:t>
      </w:r>
      <w:r>
        <w:rPr>
          <w:rFonts w:hint="eastAsia" w:ascii="宋体" w:hAnsi="宋体" w:cs="宋体"/>
          <w:spacing w:val="-2"/>
          <w:sz w:val="24"/>
          <w:szCs w:val="24"/>
          <w:lang w:eastAsia="zh-CN"/>
        </w:rPr>
        <w:t>具体开工日期以甲方书面通知为准</w:t>
      </w:r>
      <w:r>
        <w:rPr>
          <w:rFonts w:hint="eastAsia" w:ascii="宋体" w:hAnsi="宋体" w:cs="宋体"/>
          <w:sz w:val="24"/>
          <w:szCs w:val="24"/>
          <w:lang w:eastAsia="zh-CN"/>
        </w:rPr>
        <w:t>，以任何形式拖延进场的，按20000元/天承担违约金。</w:t>
      </w:r>
    </w:p>
    <w:p w14:paraId="596FAC80">
      <w:pPr>
        <w:pStyle w:val="28"/>
        <w:numPr>
          <w:ilvl w:val="0"/>
          <w:numId w:val="2"/>
        </w:numPr>
        <w:adjustRightInd w:val="0"/>
        <w:snapToGrid w:val="0"/>
        <w:spacing w:after="0" w:line="440" w:lineRule="exact"/>
        <w:ind w:firstLine="480"/>
        <w:jc w:val="both"/>
        <w:rPr>
          <w:rFonts w:hint="eastAsia" w:ascii="宋体" w:hAnsi="宋体" w:cs="宋体"/>
          <w:sz w:val="24"/>
          <w:szCs w:val="24"/>
          <w:lang w:eastAsia="zh-CN"/>
        </w:rPr>
      </w:pPr>
      <w:r>
        <w:rPr>
          <w:rFonts w:hint="eastAsia" w:ascii="宋体" w:hAnsi="宋体" w:cs="宋体"/>
          <w:sz w:val="24"/>
          <w:szCs w:val="24"/>
          <w:lang w:eastAsia="zh-CN"/>
        </w:rPr>
        <w:t>我方愿意保质保量，</w:t>
      </w:r>
      <w:r>
        <w:rPr>
          <w:rFonts w:hint="eastAsia" w:ascii="宋体" w:hAnsi="宋体"/>
          <w:sz w:val="24"/>
          <w:szCs w:val="24"/>
          <w:u w:val="single"/>
          <w:lang w:eastAsia="zh-CN"/>
        </w:rPr>
        <w:t>150</w:t>
      </w:r>
      <w:r>
        <w:rPr>
          <w:rFonts w:hint="eastAsia" w:ascii="宋体" w:hAnsi="宋体" w:cs="宋体"/>
          <w:sz w:val="24"/>
          <w:szCs w:val="24"/>
          <w:lang w:eastAsia="zh-CN"/>
        </w:rPr>
        <w:t>日内完工，不以任何形式要求停工。</w:t>
      </w:r>
      <w:bookmarkStart w:id="3" w:name="_Hlk141451257"/>
      <w:r>
        <w:rPr>
          <w:rFonts w:hint="eastAsia" w:ascii="宋体" w:hAnsi="宋体" w:cs="宋体"/>
          <w:sz w:val="24"/>
          <w:szCs w:val="24"/>
          <w:lang w:eastAsia="zh-CN"/>
        </w:rPr>
        <w:t>如因承包人原因（不可抗力除外）造成延误工期，按20000元/天承担违约金。</w:t>
      </w:r>
      <w:bookmarkEnd w:id="3"/>
    </w:p>
    <w:p w14:paraId="2C39A130">
      <w:pPr>
        <w:pStyle w:val="33"/>
        <w:numPr>
          <w:ilvl w:val="0"/>
          <w:numId w:val="2"/>
        </w:numPr>
        <w:spacing w:line="380" w:lineRule="exact"/>
        <w:ind w:firstLine="420"/>
        <w:rPr>
          <w:rFonts w:hint="eastAsia" w:hAnsi="宋体" w:eastAsia="宋体" w:cs="宋体"/>
          <w:kern w:val="0"/>
          <w:sz w:val="24"/>
          <w:szCs w:val="24"/>
        </w:rPr>
      </w:pPr>
      <w:r>
        <w:rPr>
          <w:rFonts w:hint="eastAsia" w:hAnsi="宋体" w:eastAsia="宋体" w:cs="宋体"/>
          <w:kern w:val="0"/>
          <w:sz w:val="24"/>
          <w:szCs w:val="24"/>
        </w:rPr>
        <w:t>投标人授权委托人员联系方式</w:t>
      </w:r>
    </w:p>
    <w:tbl>
      <w:tblPr>
        <w:tblStyle w:val="12"/>
        <w:tblpPr w:leftFromText="180" w:rightFromText="180" w:vertAnchor="text" w:horzAnchor="page" w:tblpX="1558" w:tblpY="162"/>
        <w:tblW w:w="90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414"/>
        <w:gridCol w:w="2410"/>
        <w:gridCol w:w="2410"/>
      </w:tblGrid>
      <w:tr w14:paraId="77B7F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39E97D7D">
            <w:pPr>
              <w:pStyle w:val="33"/>
              <w:spacing w:line="380" w:lineRule="exact"/>
              <w:jc w:val="center"/>
              <w:rPr>
                <w:rFonts w:hint="eastAsia" w:hAnsi="宋体" w:eastAsia="宋体" w:cs="宋体"/>
                <w:kern w:val="0"/>
                <w:sz w:val="24"/>
                <w:szCs w:val="24"/>
              </w:rPr>
            </w:pPr>
            <w:r>
              <w:rPr>
                <w:rFonts w:hint="eastAsia" w:hAnsi="宋体" w:eastAsia="宋体" w:cs="宋体"/>
                <w:kern w:val="0"/>
                <w:sz w:val="24"/>
                <w:szCs w:val="24"/>
              </w:rPr>
              <w:t>姓名</w:t>
            </w:r>
          </w:p>
        </w:tc>
        <w:tc>
          <w:tcPr>
            <w:tcW w:w="3414" w:type="dxa"/>
          </w:tcPr>
          <w:p w14:paraId="4D7FF016">
            <w:pPr>
              <w:pStyle w:val="33"/>
              <w:spacing w:line="380" w:lineRule="exact"/>
              <w:jc w:val="center"/>
              <w:rPr>
                <w:rFonts w:hint="eastAsia" w:hAnsi="宋体" w:eastAsia="宋体" w:cs="宋体"/>
                <w:kern w:val="0"/>
                <w:sz w:val="24"/>
                <w:szCs w:val="24"/>
              </w:rPr>
            </w:pPr>
            <w:r>
              <w:rPr>
                <w:rFonts w:hint="eastAsia" w:hAnsi="宋体" w:eastAsia="宋体" w:cs="宋体"/>
                <w:kern w:val="0"/>
                <w:sz w:val="24"/>
                <w:szCs w:val="24"/>
              </w:rPr>
              <w:t>身份证号</w:t>
            </w:r>
          </w:p>
        </w:tc>
        <w:tc>
          <w:tcPr>
            <w:tcW w:w="2410" w:type="dxa"/>
          </w:tcPr>
          <w:p w14:paraId="402A675D">
            <w:pPr>
              <w:pStyle w:val="33"/>
              <w:spacing w:line="380" w:lineRule="exact"/>
              <w:jc w:val="center"/>
              <w:rPr>
                <w:rFonts w:hint="eastAsia" w:hAnsi="宋体" w:eastAsia="宋体" w:cs="宋体"/>
                <w:kern w:val="0"/>
                <w:sz w:val="24"/>
                <w:szCs w:val="24"/>
              </w:rPr>
            </w:pPr>
            <w:r>
              <w:rPr>
                <w:rFonts w:hint="eastAsia" w:hAnsi="宋体" w:eastAsia="宋体" w:cs="宋体"/>
                <w:kern w:val="0"/>
                <w:sz w:val="24"/>
                <w:szCs w:val="24"/>
              </w:rPr>
              <w:t>手机号码</w:t>
            </w:r>
          </w:p>
        </w:tc>
        <w:tc>
          <w:tcPr>
            <w:tcW w:w="2410" w:type="dxa"/>
          </w:tcPr>
          <w:p w14:paraId="35CC3FCA">
            <w:pPr>
              <w:pStyle w:val="33"/>
              <w:spacing w:line="380" w:lineRule="exact"/>
              <w:jc w:val="center"/>
              <w:rPr>
                <w:rFonts w:hint="eastAsia" w:hAnsi="宋体" w:eastAsia="宋体" w:cs="宋体"/>
                <w:kern w:val="0"/>
                <w:sz w:val="24"/>
                <w:szCs w:val="24"/>
              </w:rPr>
            </w:pPr>
            <w:r>
              <w:rPr>
                <w:rFonts w:hint="eastAsia" w:hAnsi="宋体" w:eastAsia="宋体" w:cs="宋体"/>
                <w:kern w:val="0"/>
                <w:sz w:val="24"/>
                <w:szCs w:val="24"/>
              </w:rPr>
              <w:t>座机号码</w:t>
            </w:r>
          </w:p>
        </w:tc>
      </w:tr>
      <w:tr w14:paraId="5852A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Pr>
          <w:p w14:paraId="685FA035">
            <w:pPr>
              <w:pStyle w:val="33"/>
              <w:spacing w:line="380" w:lineRule="exact"/>
              <w:rPr>
                <w:rFonts w:hint="eastAsia" w:hAnsi="宋体" w:eastAsia="宋体" w:cs="宋体"/>
                <w:kern w:val="0"/>
                <w:sz w:val="24"/>
                <w:szCs w:val="24"/>
              </w:rPr>
            </w:pPr>
          </w:p>
        </w:tc>
        <w:tc>
          <w:tcPr>
            <w:tcW w:w="3414" w:type="dxa"/>
          </w:tcPr>
          <w:p w14:paraId="3791F117">
            <w:pPr>
              <w:pStyle w:val="33"/>
              <w:spacing w:line="380" w:lineRule="exact"/>
              <w:rPr>
                <w:rFonts w:hint="eastAsia" w:hAnsi="宋体" w:eastAsia="宋体" w:cs="宋体"/>
                <w:kern w:val="0"/>
                <w:sz w:val="24"/>
                <w:szCs w:val="24"/>
              </w:rPr>
            </w:pPr>
          </w:p>
        </w:tc>
        <w:tc>
          <w:tcPr>
            <w:tcW w:w="2410" w:type="dxa"/>
          </w:tcPr>
          <w:p w14:paraId="74DABF0B">
            <w:pPr>
              <w:pStyle w:val="33"/>
              <w:spacing w:line="380" w:lineRule="exact"/>
              <w:rPr>
                <w:rFonts w:hint="eastAsia" w:hAnsi="宋体" w:eastAsia="宋体" w:cs="宋体"/>
                <w:kern w:val="0"/>
                <w:sz w:val="24"/>
                <w:szCs w:val="24"/>
              </w:rPr>
            </w:pPr>
          </w:p>
        </w:tc>
        <w:tc>
          <w:tcPr>
            <w:tcW w:w="2410" w:type="dxa"/>
          </w:tcPr>
          <w:p w14:paraId="06DFF1F9">
            <w:pPr>
              <w:pStyle w:val="33"/>
              <w:spacing w:line="380" w:lineRule="exact"/>
              <w:rPr>
                <w:rFonts w:hint="eastAsia" w:hAnsi="宋体" w:eastAsia="宋体" w:cs="宋体"/>
                <w:kern w:val="0"/>
                <w:sz w:val="24"/>
                <w:szCs w:val="24"/>
              </w:rPr>
            </w:pPr>
          </w:p>
        </w:tc>
      </w:tr>
    </w:tbl>
    <w:p w14:paraId="755212AE">
      <w:pPr>
        <w:pStyle w:val="33"/>
        <w:numPr>
          <w:ilvl w:val="0"/>
          <w:numId w:val="2"/>
        </w:numPr>
        <w:spacing w:line="380" w:lineRule="exact"/>
        <w:ind w:firstLine="420"/>
        <w:rPr>
          <w:rFonts w:hint="eastAsia" w:hAnsi="宋体" w:eastAsia="宋体" w:cs="宋体"/>
          <w:kern w:val="0"/>
          <w:sz w:val="24"/>
          <w:szCs w:val="24"/>
        </w:rPr>
      </w:pPr>
      <w:r>
        <w:rPr>
          <w:rFonts w:hint="eastAsia" w:hAnsi="宋体" w:eastAsia="宋体" w:cs="宋体"/>
          <w:kern w:val="0"/>
          <w:sz w:val="24"/>
          <w:szCs w:val="24"/>
        </w:rPr>
        <w:t>授权委托人员联系电话在整个开、评标过程中必须保持畅通，如电话不通，视为放弃澄清或答辩，投标人自行承担由此造成的后果；</w:t>
      </w:r>
    </w:p>
    <w:p w14:paraId="68A38CA1">
      <w:pPr>
        <w:adjustRightInd w:val="0"/>
        <w:snapToGrid w:val="0"/>
        <w:spacing w:after="0" w:line="440" w:lineRule="exact"/>
        <w:ind w:firstLine="480" w:firstLineChars="200"/>
        <w:jc w:val="both"/>
        <w:rPr>
          <w:rFonts w:hint="eastAsia" w:ascii="宋体" w:hAnsi="宋体" w:cs="宋体"/>
          <w:position w:val="-1"/>
          <w:sz w:val="24"/>
          <w:szCs w:val="24"/>
          <w:lang w:eastAsia="zh-CN"/>
        </w:rPr>
      </w:pPr>
    </w:p>
    <w:p w14:paraId="6556DA39">
      <w:pPr>
        <w:adjustRightInd w:val="0"/>
        <w:snapToGrid w:val="0"/>
        <w:spacing w:after="0" w:line="440" w:lineRule="exact"/>
        <w:ind w:firstLine="480" w:firstLineChars="200"/>
        <w:jc w:val="both"/>
        <w:rPr>
          <w:rFonts w:hint="eastAsia" w:ascii="宋体" w:hAnsi="宋体" w:cs="宋体"/>
          <w:position w:val="-1"/>
          <w:sz w:val="24"/>
          <w:szCs w:val="24"/>
          <w:lang w:eastAsia="zh-CN"/>
        </w:rPr>
      </w:pPr>
      <w:r>
        <w:rPr>
          <w:rFonts w:hint="eastAsia" w:ascii="宋体" w:hAnsi="宋体" w:cs="宋体"/>
          <w:position w:val="-1"/>
          <w:sz w:val="24"/>
          <w:szCs w:val="24"/>
          <w:lang w:eastAsia="zh-CN"/>
        </w:rPr>
        <w:t>特此承诺！</w:t>
      </w:r>
    </w:p>
    <w:p w14:paraId="4FFE9F76">
      <w:pPr>
        <w:adjustRightInd w:val="0"/>
        <w:snapToGrid w:val="0"/>
        <w:spacing w:after="0" w:line="440" w:lineRule="exact"/>
        <w:ind w:firstLine="480" w:firstLineChars="200"/>
        <w:jc w:val="both"/>
        <w:rPr>
          <w:rFonts w:hint="eastAsia" w:ascii="宋体" w:hAnsi="宋体" w:cs="宋体"/>
          <w:position w:val="-1"/>
          <w:sz w:val="24"/>
          <w:szCs w:val="24"/>
          <w:lang w:eastAsia="zh-CN"/>
        </w:rPr>
      </w:pPr>
    </w:p>
    <w:p w14:paraId="76385B23">
      <w:pPr>
        <w:adjustRightInd w:val="0"/>
        <w:snapToGrid w:val="0"/>
        <w:spacing w:after="0" w:line="440" w:lineRule="exact"/>
        <w:ind w:firstLine="482" w:firstLineChars="200"/>
        <w:jc w:val="both"/>
        <w:rPr>
          <w:rFonts w:hint="eastAsia" w:ascii="宋体" w:hAnsi="宋体" w:cs="宋体"/>
          <w:b/>
          <w:position w:val="-1"/>
          <w:sz w:val="24"/>
          <w:szCs w:val="24"/>
          <w:lang w:eastAsia="zh-CN"/>
        </w:rPr>
      </w:pPr>
      <w:r>
        <w:rPr>
          <w:rFonts w:hint="eastAsia" w:ascii="宋体" w:hAnsi="宋体" w:cs="宋体"/>
          <w:b/>
          <w:position w:val="-1"/>
          <w:sz w:val="24"/>
          <w:szCs w:val="24"/>
          <w:lang w:eastAsia="zh-CN"/>
        </w:rPr>
        <w:t>（以上格式不得更改，否则作无效响应处理）</w:t>
      </w:r>
    </w:p>
    <w:p w14:paraId="6B0D55C8">
      <w:pPr>
        <w:adjustRightInd w:val="0"/>
        <w:snapToGrid w:val="0"/>
        <w:spacing w:after="0" w:line="440" w:lineRule="exact"/>
        <w:ind w:firstLine="480" w:firstLineChars="200"/>
        <w:jc w:val="both"/>
        <w:rPr>
          <w:rFonts w:hint="eastAsia" w:ascii="宋体" w:hAnsi="宋体" w:cs="宋体"/>
          <w:position w:val="-1"/>
          <w:sz w:val="24"/>
          <w:szCs w:val="24"/>
          <w:lang w:eastAsia="zh-CN"/>
        </w:rPr>
      </w:pPr>
    </w:p>
    <w:p w14:paraId="79A0D476">
      <w:pPr>
        <w:pStyle w:val="28"/>
        <w:adjustRightInd w:val="0"/>
        <w:snapToGrid w:val="0"/>
        <w:spacing w:after="0" w:line="440" w:lineRule="exact"/>
        <w:ind w:firstLine="480"/>
        <w:jc w:val="both"/>
        <w:rPr>
          <w:rFonts w:hint="eastAsia" w:ascii="宋体" w:hAnsi="宋体" w:cs="宋体"/>
          <w:sz w:val="24"/>
          <w:szCs w:val="24"/>
          <w:lang w:eastAsia="zh-CN"/>
        </w:rPr>
      </w:pPr>
    </w:p>
    <w:p w14:paraId="2A03A7FB">
      <w:pPr>
        <w:tabs>
          <w:tab w:val="left" w:pos="1140"/>
          <w:tab w:val="left" w:pos="1740"/>
        </w:tabs>
        <w:adjustRightInd w:val="0"/>
        <w:snapToGrid w:val="0"/>
        <w:spacing w:after="0" w:line="440" w:lineRule="exact"/>
        <w:ind w:firstLine="480" w:firstLineChars="200"/>
        <w:jc w:val="both"/>
        <w:rPr>
          <w:rFonts w:hint="eastAsia" w:ascii="宋体" w:hAnsi="宋体" w:cs="宋体"/>
          <w:sz w:val="24"/>
          <w:szCs w:val="24"/>
          <w:lang w:eastAsia="zh-CN"/>
        </w:rPr>
      </w:pPr>
    </w:p>
    <w:p w14:paraId="69501E6D">
      <w:pPr>
        <w:adjustRightInd w:val="0"/>
        <w:snapToGrid w:val="0"/>
        <w:spacing w:after="0" w:line="440" w:lineRule="exact"/>
        <w:ind w:firstLine="5400" w:firstLineChars="2250"/>
        <w:jc w:val="both"/>
        <w:rPr>
          <w:rFonts w:hint="eastAsia" w:ascii="宋体" w:hAnsi="宋体" w:cs="宋体"/>
          <w:sz w:val="24"/>
          <w:szCs w:val="24"/>
          <w:lang w:eastAsia="zh-CN"/>
        </w:rPr>
      </w:pPr>
      <w:r>
        <w:rPr>
          <w:rFonts w:hint="eastAsia" w:ascii="宋体" w:hAnsi="宋体" w:cs="宋体"/>
          <w:sz w:val="24"/>
          <w:szCs w:val="24"/>
          <w:lang w:eastAsia="zh-CN"/>
        </w:rPr>
        <w:t>投标人</w:t>
      </w:r>
      <w:r>
        <w:rPr>
          <w:rFonts w:hint="eastAsia" w:ascii="宋体" w:hAnsi="宋体" w:cs="宋体"/>
          <w:spacing w:val="-120"/>
          <w:sz w:val="24"/>
          <w:szCs w:val="24"/>
          <w:lang w:eastAsia="zh-CN"/>
        </w:rPr>
        <w:t>：</w:t>
      </w:r>
      <w:r>
        <w:rPr>
          <w:rFonts w:hint="eastAsia" w:ascii="宋体" w:hAnsi="宋体" w:cs="宋体"/>
          <w:sz w:val="24"/>
          <w:szCs w:val="24"/>
          <w:lang w:eastAsia="zh-CN"/>
        </w:rPr>
        <w:t>（盖单位公章）</w:t>
      </w:r>
    </w:p>
    <w:p w14:paraId="41AC180F">
      <w:pPr>
        <w:adjustRightInd w:val="0"/>
        <w:snapToGrid w:val="0"/>
        <w:spacing w:after="0" w:line="440" w:lineRule="exact"/>
        <w:ind w:firstLine="5400" w:firstLineChars="2250"/>
        <w:jc w:val="both"/>
        <w:rPr>
          <w:rFonts w:hint="eastAsia" w:ascii="宋体" w:hAnsi="宋体" w:cs="宋体"/>
          <w:sz w:val="24"/>
          <w:szCs w:val="24"/>
          <w:lang w:eastAsia="zh-CN"/>
        </w:rPr>
      </w:pPr>
      <w:r>
        <w:rPr>
          <w:rFonts w:hint="eastAsia" w:ascii="宋体" w:hAnsi="宋体" w:cs="宋体"/>
          <w:sz w:val="24"/>
          <w:szCs w:val="24"/>
          <w:lang w:eastAsia="zh-CN"/>
        </w:rPr>
        <w:t>法定代表人</w:t>
      </w:r>
      <w:r>
        <w:rPr>
          <w:rFonts w:hint="eastAsia" w:ascii="宋体" w:hAnsi="宋体" w:cs="宋体"/>
          <w:position w:val="-3"/>
          <w:sz w:val="24"/>
          <w:szCs w:val="24"/>
          <w:lang w:eastAsia="zh-CN"/>
        </w:rPr>
        <w:t>或其被委托人：</w:t>
      </w:r>
    </w:p>
    <w:p w14:paraId="0223D6D6">
      <w:pPr>
        <w:adjustRightInd w:val="0"/>
        <w:snapToGrid w:val="0"/>
        <w:spacing w:after="0" w:line="440" w:lineRule="exact"/>
        <w:ind w:firstLine="6120" w:firstLineChars="2550"/>
        <w:jc w:val="both"/>
        <w:rPr>
          <w:rFonts w:hint="eastAsia" w:ascii="宋体" w:hAnsi="宋体" w:cs="宋体"/>
          <w:sz w:val="24"/>
          <w:szCs w:val="24"/>
          <w:lang w:eastAsia="zh-CN"/>
        </w:rPr>
      </w:pPr>
      <w:r>
        <w:rPr>
          <w:rFonts w:hint="eastAsia" w:ascii="宋体" w:hAnsi="宋体" w:cs="宋体"/>
          <w:position w:val="-3"/>
          <w:sz w:val="24"/>
          <w:szCs w:val="24"/>
          <w:lang w:eastAsia="zh-CN"/>
        </w:rPr>
        <w:t>（盖章或签字）</w:t>
      </w:r>
    </w:p>
    <w:p w14:paraId="33F58BFC">
      <w:pPr>
        <w:adjustRightInd w:val="0"/>
        <w:snapToGrid w:val="0"/>
        <w:spacing w:after="0" w:line="440" w:lineRule="exact"/>
        <w:ind w:firstLine="480" w:firstLineChars="200"/>
        <w:jc w:val="both"/>
        <w:rPr>
          <w:rFonts w:hint="eastAsia" w:ascii="宋体" w:hAnsi="宋体" w:cs="宋体"/>
          <w:sz w:val="24"/>
          <w:szCs w:val="24"/>
          <w:lang w:eastAsia="zh-CN"/>
        </w:rPr>
      </w:pPr>
      <w:r>
        <w:rPr>
          <w:rFonts w:hint="eastAsia" w:ascii="宋体" w:hAnsi="宋体" w:cs="宋体"/>
          <w:sz w:val="24"/>
          <w:szCs w:val="24"/>
          <w:lang w:eastAsia="zh-CN"/>
        </w:rPr>
        <w:t xml:space="preserve"> </w:t>
      </w:r>
    </w:p>
    <w:p w14:paraId="6E081DE2">
      <w:pPr>
        <w:tabs>
          <w:tab w:val="left" w:pos="1140"/>
          <w:tab w:val="left" w:pos="1740"/>
        </w:tabs>
        <w:adjustRightInd w:val="0"/>
        <w:snapToGrid w:val="0"/>
        <w:spacing w:after="0" w:line="440" w:lineRule="exact"/>
        <w:ind w:firstLine="7080" w:firstLineChars="2950"/>
        <w:jc w:val="both"/>
        <w:rPr>
          <w:rFonts w:hint="eastAsia" w:ascii="宋体" w:hAnsi="宋体" w:cs="宋体"/>
          <w:sz w:val="24"/>
          <w:szCs w:val="24"/>
          <w:lang w:eastAsia="zh-CN"/>
        </w:rPr>
      </w:pPr>
      <w:r>
        <w:rPr>
          <w:rFonts w:ascii="宋体" w:hAnsi="宋体" w:cs="宋体"/>
          <w:sz w:val="24"/>
          <w:szCs w:val="24"/>
          <w:lang w:eastAsia="zh-CN"/>
        </w:rPr>
        <w:t xml:space="preserve">   </w:t>
      </w:r>
      <w:r>
        <w:rPr>
          <w:rFonts w:hint="eastAsia" w:ascii="宋体" w:hAnsi="宋体" w:cs="宋体"/>
          <w:sz w:val="24"/>
          <w:szCs w:val="24"/>
          <w:lang w:eastAsia="zh-CN"/>
        </w:rPr>
        <w:t>年</w:t>
      </w:r>
      <w:r>
        <w:rPr>
          <w:rFonts w:ascii="宋体" w:hAnsi="宋体" w:cs="宋体"/>
          <w:sz w:val="24"/>
          <w:szCs w:val="24"/>
          <w:lang w:eastAsia="zh-CN"/>
        </w:rPr>
        <w:tab/>
      </w:r>
      <w:r>
        <w:rPr>
          <w:rFonts w:hint="eastAsia" w:ascii="宋体" w:hAnsi="宋体" w:cs="宋体"/>
          <w:sz w:val="24"/>
          <w:szCs w:val="24"/>
          <w:lang w:eastAsia="zh-CN"/>
        </w:rPr>
        <w:t xml:space="preserve">  月    日</w:t>
      </w:r>
    </w:p>
    <w:p w14:paraId="486F680E">
      <w:pPr>
        <w:spacing w:after="0" w:line="440" w:lineRule="exact"/>
        <w:ind w:right="207" w:rightChars="94"/>
        <w:rPr>
          <w:rFonts w:hint="eastAsia" w:ascii="宋体" w:hAnsi="宋体" w:cs="宋体"/>
          <w:spacing w:val="2"/>
          <w:sz w:val="24"/>
          <w:szCs w:val="24"/>
          <w:lang w:eastAsia="zh-CN"/>
        </w:rPr>
      </w:pPr>
      <w:r>
        <w:rPr>
          <w:rFonts w:ascii="宋体" w:hAnsi="宋体" w:cs="宋体"/>
          <w:sz w:val="24"/>
          <w:szCs w:val="24"/>
          <w:lang w:eastAsia="zh-CN"/>
        </w:rPr>
        <w:br w:type="page"/>
      </w:r>
      <w:r>
        <w:rPr>
          <w:rFonts w:hint="eastAsia" w:ascii="宋体" w:hAnsi="宋体" w:cs="宋体"/>
          <w:spacing w:val="2"/>
          <w:sz w:val="24"/>
          <w:szCs w:val="24"/>
          <w:lang w:eastAsia="zh-CN"/>
        </w:rPr>
        <w:t>附件</w:t>
      </w:r>
      <w:r>
        <w:rPr>
          <w:rFonts w:hint="eastAsia" w:ascii="宋体" w:hAnsi="宋体" w:cs="宋体"/>
          <w:spacing w:val="2"/>
          <w:sz w:val="24"/>
          <w:szCs w:val="24"/>
          <w:lang w:val="en-US" w:eastAsia="zh-CN"/>
        </w:rPr>
        <w:t>六</w:t>
      </w:r>
      <w:r>
        <w:rPr>
          <w:rFonts w:hint="eastAsia" w:ascii="宋体" w:hAnsi="宋体" w:cs="宋体"/>
          <w:spacing w:val="2"/>
          <w:sz w:val="24"/>
          <w:szCs w:val="24"/>
          <w:lang w:eastAsia="zh-CN"/>
        </w:rPr>
        <w:t>：</w:t>
      </w:r>
    </w:p>
    <w:p w14:paraId="74F7ABC9">
      <w:pPr>
        <w:spacing w:after="0" w:line="440" w:lineRule="exact"/>
        <w:ind w:right="207" w:rightChars="94"/>
        <w:rPr>
          <w:rFonts w:hint="eastAsia" w:ascii="宋体" w:hAnsi="宋体" w:cs="宋体"/>
          <w:spacing w:val="2"/>
          <w:sz w:val="24"/>
          <w:szCs w:val="24"/>
          <w:lang w:eastAsia="zh-CN"/>
        </w:rPr>
      </w:pPr>
    </w:p>
    <w:p w14:paraId="5C8641E4">
      <w:pPr>
        <w:tabs>
          <w:tab w:val="left" w:pos="1140"/>
          <w:tab w:val="left" w:pos="1740"/>
        </w:tabs>
        <w:spacing w:line="440" w:lineRule="exact"/>
        <w:ind w:right="207" w:rightChars="94" w:firstLine="482" w:firstLineChars="200"/>
        <w:jc w:val="center"/>
        <w:rPr>
          <w:rFonts w:hint="eastAsia" w:ascii="宋体" w:hAnsi="宋体" w:cs="宋体"/>
          <w:b/>
          <w:sz w:val="24"/>
          <w:szCs w:val="24"/>
          <w:lang w:eastAsia="zh-CN"/>
        </w:rPr>
      </w:pPr>
      <w:r>
        <w:rPr>
          <w:rFonts w:hint="eastAsia" w:ascii="宋体" w:hAnsi="宋体" w:cs="宋体"/>
          <w:b/>
          <w:sz w:val="24"/>
          <w:szCs w:val="24"/>
          <w:lang w:eastAsia="zh-CN"/>
        </w:rPr>
        <w:t>其它说明</w:t>
      </w:r>
    </w:p>
    <w:p w14:paraId="259ABC0B">
      <w:pPr>
        <w:widowControl/>
        <w:shd w:val="clear" w:color="auto" w:fill="FFFFFF"/>
        <w:adjustRightInd w:val="0"/>
        <w:snapToGrid w:val="0"/>
        <w:spacing w:after="0" w:line="440" w:lineRule="exact"/>
        <w:ind w:firstLine="480" w:firstLineChars="200"/>
        <w:jc w:val="both"/>
        <w:rPr>
          <w:rFonts w:hint="eastAsia" w:ascii="宋体" w:hAnsi="宋体" w:cs="宋体"/>
          <w:sz w:val="24"/>
          <w:szCs w:val="24"/>
          <w:shd w:val="clear" w:color="auto" w:fill="FFFFFF"/>
          <w:lang w:eastAsia="zh-CN"/>
        </w:rPr>
      </w:pPr>
    </w:p>
    <w:p w14:paraId="3C2CC145">
      <w:pPr>
        <w:widowControl/>
        <w:shd w:val="clear" w:color="auto" w:fill="FFFFFF"/>
        <w:adjustRightInd w:val="0"/>
        <w:snapToGrid w:val="0"/>
        <w:spacing w:after="0" w:line="440" w:lineRule="exact"/>
        <w:ind w:firstLine="480" w:firstLineChars="200"/>
        <w:jc w:val="both"/>
        <w:rPr>
          <w:rFonts w:hint="eastAsia" w:ascii="宋体" w:hAnsi="宋体" w:cs="宋体"/>
          <w:sz w:val="24"/>
          <w:szCs w:val="24"/>
          <w:shd w:val="clear" w:color="auto" w:fill="FFFFFF"/>
          <w:lang w:eastAsia="zh-CN"/>
        </w:rPr>
      </w:pPr>
      <w:r>
        <w:rPr>
          <w:rFonts w:hint="eastAsia" w:ascii="宋体" w:hAnsi="宋体" w:cs="宋体"/>
          <w:sz w:val="24"/>
          <w:szCs w:val="24"/>
          <w:shd w:val="clear" w:color="auto" w:fill="FFFFFF"/>
          <w:lang w:eastAsia="zh-CN"/>
        </w:rPr>
        <w:t>一、投标价：投标人的综合报价应包括人工、材料费、机械费、措施费、工程建设其它费用、管理费、利润、规费、税金等完成本项目的一切费用。</w:t>
      </w:r>
    </w:p>
    <w:p w14:paraId="1BFF54A7">
      <w:pPr>
        <w:widowControl/>
        <w:shd w:val="clear" w:color="auto" w:fill="FFFFFF"/>
        <w:adjustRightInd w:val="0"/>
        <w:snapToGrid w:val="0"/>
        <w:spacing w:after="0" w:line="440" w:lineRule="exact"/>
        <w:ind w:firstLine="480" w:firstLineChars="200"/>
        <w:jc w:val="both"/>
        <w:rPr>
          <w:rFonts w:hint="eastAsia" w:ascii="宋体" w:hAnsi="宋体"/>
          <w:b/>
          <w:bCs/>
          <w:sz w:val="24"/>
          <w:szCs w:val="24"/>
          <w:lang w:eastAsia="zh-CN"/>
        </w:rPr>
      </w:pPr>
      <w:r>
        <w:rPr>
          <w:rFonts w:hint="eastAsia" w:ascii="宋体" w:hAnsi="宋体" w:cs="宋体"/>
          <w:sz w:val="24"/>
          <w:szCs w:val="24"/>
          <w:shd w:val="clear" w:color="auto" w:fill="FFFFFF"/>
          <w:lang w:eastAsia="zh-CN"/>
        </w:rPr>
        <w:t>二、</w:t>
      </w:r>
      <w:r>
        <w:rPr>
          <w:rFonts w:hint="eastAsia" w:ascii="宋体" w:hAnsi="宋体"/>
          <w:b/>
          <w:bCs/>
          <w:sz w:val="24"/>
          <w:szCs w:val="24"/>
          <w:lang w:eastAsia="zh-CN"/>
        </w:rPr>
        <w:t>投标报价中的现场安全文明施工费、规费、税金为不可竞争费。</w:t>
      </w:r>
    </w:p>
    <w:p w14:paraId="2D5F4351">
      <w:pPr>
        <w:widowControl/>
        <w:shd w:val="clear" w:color="auto" w:fill="FFFFFF"/>
        <w:adjustRightInd w:val="0"/>
        <w:snapToGrid w:val="0"/>
        <w:spacing w:after="0" w:line="440" w:lineRule="exact"/>
        <w:ind w:firstLine="482" w:firstLineChars="200"/>
        <w:jc w:val="both"/>
        <w:rPr>
          <w:rFonts w:hint="eastAsia" w:ascii="宋体" w:hAnsi="宋体" w:cs="宋体"/>
          <w:b/>
          <w:sz w:val="24"/>
          <w:szCs w:val="24"/>
          <w:shd w:val="clear" w:color="auto" w:fill="FFFFFF"/>
          <w:lang w:eastAsia="zh-CN"/>
        </w:rPr>
      </w:pPr>
      <w:r>
        <w:rPr>
          <w:rFonts w:hint="eastAsia" w:ascii="宋体" w:hAnsi="宋体"/>
          <w:b/>
          <w:bCs/>
          <w:sz w:val="24"/>
          <w:szCs w:val="24"/>
          <w:lang w:eastAsia="zh-CN"/>
        </w:rPr>
        <w:t>三、投标总价不得超过控</w:t>
      </w:r>
      <w:r>
        <w:rPr>
          <w:rFonts w:hint="eastAsia" w:ascii="宋体" w:hAnsi="宋体" w:cs="宋体"/>
          <w:b/>
          <w:sz w:val="24"/>
          <w:szCs w:val="24"/>
          <w:shd w:val="clear" w:color="auto" w:fill="FFFFFF"/>
          <w:lang w:eastAsia="zh-CN"/>
        </w:rPr>
        <w:t>制价中所标明的金额，否则作为无效响应处理。</w:t>
      </w:r>
    </w:p>
    <w:p w14:paraId="3AA63A31">
      <w:pPr>
        <w:widowControl/>
        <w:shd w:val="clear" w:color="auto" w:fill="FFFFFF"/>
        <w:adjustRightInd w:val="0"/>
        <w:snapToGrid w:val="0"/>
        <w:spacing w:after="0" w:line="440" w:lineRule="exact"/>
        <w:ind w:firstLine="482" w:firstLineChars="200"/>
        <w:jc w:val="both"/>
        <w:rPr>
          <w:rFonts w:hint="eastAsia" w:ascii="宋体" w:hAnsi="宋体" w:cs="宋体"/>
          <w:b/>
          <w:sz w:val="24"/>
          <w:szCs w:val="24"/>
          <w:shd w:val="clear" w:color="auto" w:fill="FFFFFF"/>
          <w:lang w:eastAsia="zh-CN"/>
        </w:rPr>
      </w:pPr>
      <w:r>
        <w:rPr>
          <w:rFonts w:hint="eastAsia" w:ascii="宋体" w:hAnsi="宋体" w:cs="宋体"/>
          <w:b/>
          <w:sz w:val="24"/>
          <w:szCs w:val="24"/>
          <w:shd w:val="clear" w:color="auto" w:fill="FFFFFF"/>
          <w:lang w:eastAsia="zh-CN"/>
        </w:rPr>
        <w:t>四、其它要求详见图纸。</w:t>
      </w:r>
    </w:p>
    <w:p w14:paraId="16133362">
      <w:pPr>
        <w:widowControl/>
        <w:shd w:val="clear" w:color="auto" w:fill="FFFFFF"/>
        <w:adjustRightInd w:val="0"/>
        <w:snapToGrid w:val="0"/>
        <w:spacing w:after="0" w:line="440" w:lineRule="exact"/>
        <w:ind w:firstLine="482" w:firstLineChars="200"/>
        <w:jc w:val="both"/>
        <w:outlineLvl w:val="0"/>
        <w:rPr>
          <w:rFonts w:hint="eastAsia" w:ascii="宋体" w:hAnsi="宋体" w:cs="宋体"/>
          <w:b/>
          <w:sz w:val="24"/>
          <w:szCs w:val="24"/>
          <w:shd w:val="clear" w:color="auto" w:fill="FFFFFF"/>
          <w:lang w:eastAsia="zh-CN"/>
        </w:rPr>
      </w:pPr>
      <w:r>
        <w:rPr>
          <w:rFonts w:hint="eastAsia" w:ascii="宋体" w:hAnsi="宋体" w:cs="宋体"/>
          <w:b/>
          <w:sz w:val="24"/>
          <w:szCs w:val="24"/>
          <w:shd w:val="clear" w:color="auto" w:fill="FFFFFF"/>
          <w:lang w:eastAsia="zh-CN"/>
        </w:rPr>
        <w:t>五、报价要求</w:t>
      </w:r>
      <w:bookmarkStart w:id="4" w:name="_GoBack"/>
      <w:bookmarkEnd w:id="4"/>
    </w:p>
    <w:p w14:paraId="79A6F84F">
      <w:pPr>
        <w:widowControl/>
        <w:shd w:val="clear" w:color="auto" w:fill="FFFFFF"/>
        <w:adjustRightInd w:val="0"/>
        <w:snapToGrid w:val="0"/>
        <w:spacing w:after="0" w:line="440" w:lineRule="exact"/>
        <w:ind w:firstLine="482" w:firstLineChars="200"/>
        <w:jc w:val="both"/>
        <w:rPr>
          <w:rFonts w:hint="eastAsia" w:ascii="宋体" w:hAnsi="宋体" w:cs="宋体"/>
          <w:b/>
          <w:sz w:val="24"/>
          <w:szCs w:val="24"/>
          <w:shd w:val="clear" w:color="auto" w:fill="FFFFFF"/>
          <w:lang w:eastAsia="zh-CN"/>
        </w:rPr>
      </w:pPr>
      <w:r>
        <w:rPr>
          <w:rFonts w:hint="eastAsia" w:ascii="宋体" w:hAnsi="宋体" w:cs="宋体"/>
          <w:b/>
          <w:sz w:val="24"/>
          <w:szCs w:val="24"/>
          <w:shd w:val="clear" w:color="auto" w:fill="FFFFFF"/>
          <w:lang w:eastAsia="zh-CN"/>
        </w:rPr>
        <w:t>1、投标人提供满足工程量清单计价规范要求的计价表，投标报价及组成需一致。</w:t>
      </w:r>
    </w:p>
    <w:p w14:paraId="1590FA5E">
      <w:pPr>
        <w:widowControl/>
        <w:shd w:val="clear" w:color="auto" w:fill="FFFFFF"/>
        <w:adjustRightInd w:val="0"/>
        <w:snapToGrid w:val="0"/>
        <w:spacing w:after="0" w:line="440" w:lineRule="exact"/>
        <w:ind w:firstLine="482" w:firstLineChars="200"/>
        <w:jc w:val="both"/>
        <w:rPr>
          <w:rFonts w:hint="eastAsia" w:ascii="宋体" w:hAnsi="宋体" w:cs="宋体"/>
          <w:b/>
          <w:sz w:val="24"/>
          <w:szCs w:val="24"/>
          <w:shd w:val="clear" w:color="auto" w:fill="FFFFFF"/>
          <w:lang w:eastAsia="zh-CN"/>
        </w:rPr>
      </w:pPr>
      <w:r>
        <w:rPr>
          <w:rFonts w:hint="eastAsia" w:ascii="宋体" w:hAnsi="宋体" w:cs="宋体"/>
          <w:b/>
          <w:sz w:val="24"/>
          <w:szCs w:val="24"/>
          <w:shd w:val="clear" w:color="auto" w:fill="FFFFFF"/>
          <w:lang w:eastAsia="zh-CN"/>
        </w:rPr>
        <w:t>2、本项目施工所需接水电、用水电费用均由成交供应商负责，相关费用在报价中应综合考虑，结算时不作调整。</w:t>
      </w:r>
    </w:p>
    <w:p w14:paraId="75E1B1CD">
      <w:pPr>
        <w:widowControl/>
        <w:shd w:val="clear" w:color="auto" w:fill="FFFFFF"/>
        <w:adjustRightInd w:val="0"/>
        <w:snapToGrid w:val="0"/>
        <w:spacing w:after="0" w:line="440" w:lineRule="exact"/>
        <w:ind w:firstLine="482" w:firstLineChars="200"/>
        <w:jc w:val="both"/>
        <w:rPr>
          <w:rFonts w:hint="eastAsia" w:ascii="宋体" w:hAnsi="宋体" w:cs="宋体"/>
          <w:b/>
          <w:sz w:val="24"/>
          <w:szCs w:val="24"/>
          <w:shd w:val="clear" w:color="auto" w:fill="FFFFFF"/>
          <w:lang w:eastAsia="zh-CN"/>
        </w:rPr>
      </w:pPr>
      <w:r>
        <w:rPr>
          <w:rFonts w:hint="eastAsia" w:ascii="宋体" w:hAnsi="宋体" w:cs="宋体"/>
          <w:b/>
          <w:sz w:val="24"/>
          <w:szCs w:val="24"/>
          <w:shd w:val="clear" w:color="auto" w:fill="FFFFFF"/>
          <w:lang w:eastAsia="zh-CN"/>
        </w:rPr>
        <w:t>3、投标人应充分考虑生产和供货期间各类材料的市场风险，今后不作调整。</w:t>
      </w:r>
    </w:p>
    <w:p w14:paraId="6E6EF484">
      <w:pPr>
        <w:widowControl/>
        <w:shd w:val="clear" w:color="auto" w:fill="FFFFFF"/>
        <w:adjustRightInd w:val="0"/>
        <w:snapToGrid w:val="0"/>
        <w:spacing w:after="0" w:line="440" w:lineRule="exact"/>
        <w:ind w:firstLine="482" w:firstLineChars="200"/>
        <w:jc w:val="both"/>
        <w:rPr>
          <w:rFonts w:hint="eastAsia" w:ascii="宋体" w:hAnsi="宋体"/>
          <w:sz w:val="24"/>
          <w:lang w:eastAsia="zh-CN"/>
        </w:rPr>
      </w:pPr>
      <w:r>
        <w:rPr>
          <w:rFonts w:hint="eastAsia" w:ascii="宋体" w:hAnsi="宋体" w:cs="宋体"/>
          <w:b/>
          <w:sz w:val="24"/>
          <w:szCs w:val="24"/>
          <w:shd w:val="clear" w:color="auto" w:fill="FFFFFF"/>
          <w:lang w:eastAsia="zh-CN"/>
        </w:rPr>
        <w:t>4、如投标人的</w:t>
      </w:r>
      <w:r>
        <w:rPr>
          <w:rFonts w:ascii="宋体" w:hAnsi="宋体" w:cs="宋体"/>
          <w:b/>
          <w:sz w:val="24"/>
          <w:szCs w:val="24"/>
          <w:shd w:val="clear" w:color="auto" w:fill="FFFFFF"/>
          <w:lang w:eastAsia="zh-CN"/>
        </w:rPr>
        <w:t>报价明显</w:t>
      </w:r>
      <w:r>
        <w:rPr>
          <w:rFonts w:hint="eastAsia" w:ascii="宋体" w:hAnsi="宋体" w:cs="宋体"/>
          <w:b/>
          <w:sz w:val="24"/>
          <w:szCs w:val="24"/>
          <w:shd w:val="clear" w:color="auto" w:fill="FFFFFF"/>
          <w:lang w:eastAsia="zh-CN"/>
        </w:rPr>
        <w:t>低于成本价,涉嫌恶意竞争,扰乱市场秩序的，投标人将自行承担由此而产生的任何法律责任。招标代理机构对此不承担任何责任。</w:t>
      </w:r>
    </w:p>
    <w:sectPr>
      <w:headerReference r:id="rId5" w:type="default"/>
      <w:pgSz w:w="11920" w:h="16840"/>
      <w:pgMar w:top="1440" w:right="1080" w:bottom="1440" w:left="1080" w:header="1311" w:footer="0" w:gutter="0"/>
      <w:cols w:space="720" w:num="1"/>
      <w:docGrid w:linePitch="29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D795A">
    <w:pPr>
      <w:spacing w:after="0" w:line="200" w:lineRule="exact"/>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50238C"/>
    <w:multiLevelType w:val="multilevel"/>
    <w:tmpl w:val="0F50238C"/>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7AD91B3"/>
    <w:multiLevelType w:val="singleLevel"/>
    <w:tmpl w:val="57AD91B3"/>
    <w:lvl w:ilvl="0" w:tentative="0">
      <w:start w:val="1"/>
      <w:numFmt w:val="decimal"/>
      <w:suff w:val="nothing"/>
      <w:lvlText w:val="%1、"/>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drawingGridHorizontalSpacing w:val="110"/>
  <w:noPunctuationKerning w:val="1"/>
  <w:characterSpacingControl w:val="doNotCompress"/>
  <w:noLineBreaksAfter w:lang="zh-CN" w:val="$([{£¥·‘“〈《「『【〔〖〝﹙﹛﹝＄（．［｛￡￥"/>
  <w:noLineBreaksBefore w:lang="zh-CN" w:val="!%),.:;&gt;?]}¢¨°·ˇˉ―‖’”…‰′″›℃∶、。〃〉》」』】〕〗〞︶︺︾﹀﹄﹚﹜﹞！＂％＇），．：；？］｀｜｝～￠"/>
  <w:footnotePr>
    <w:footnote w:id="0"/>
    <w:footnote w:id="1"/>
  </w:footnotePr>
  <w:endnotePr>
    <w:endnote w:id="0"/>
    <w:endnote w:id="1"/>
  </w:endnotePr>
  <w:compat>
    <w:balanceSingleByteDoubleByteWidth/>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3NmFlMmM0NjdjZDRmMDQwNjY2NWM2MzY3OWI5NjIifQ=="/>
  </w:docVars>
  <w:rsids>
    <w:rsidRoot w:val="00D733C6"/>
    <w:rsid w:val="0000352B"/>
    <w:rsid w:val="000036AB"/>
    <w:rsid w:val="00004FB0"/>
    <w:rsid w:val="00005629"/>
    <w:rsid w:val="000069C6"/>
    <w:rsid w:val="000078BD"/>
    <w:rsid w:val="000167DC"/>
    <w:rsid w:val="00022AA8"/>
    <w:rsid w:val="00025D65"/>
    <w:rsid w:val="00030F7F"/>
    <w:rsid w:val="0003134A"/>
    <w:rsid w:val="00032125"/>
    <w:rsid w:val="000343BE"/>
    <w:rsid w:val="00035C23"/>
    <w:rsid w:val="00036102"/>
    <w:rsid w:val="00037335"/>
    <w:rsid w:val="000374F4"/>
    <w:rsid w:val="000403DA"/>
    <w:rsid w:val="00041216"/>
    <w:rsid w:val="00041382"/>
    <w:rsid w:val="00041F57"/>
    <w:rsid w:val="00043EF6"/>
    <w:rsid w:val="00047826"/>
    <w:rsid w:val="0005153D"/>
    <w:rsid w:val="00051C54"/>
    <w:rsid w:val="000533A7"/>
    <w:rsid w:val="00056A1E"/>
    <w:rsid w:val="0006238F"/>
    <w:rsid w:val="0006395E"/>
    <w:rsid w:val="00063E4A"/>
    <w:rsid w:val="00066EC4"/>
    <w:rsid w:val="00070763"/>
    <w:rsid w:val="00072D97"/>
    <w:rsid w:val="00073A46"/>
    <w:rsid w:val="00073E6F"/>
    <w:rsid w:val="00075AF5"/>
    <w:rsid w:val="00080036"/>
    <w:rsid w:val="000808DC"/>
    <w:rsid w:val="00082B1E"/>
    <w:rsid w:val="00086531"/>
    <w:rsid w:val="000872D3"/>
    <w:rsid w:val="00087536"/>
    <w:rsid w:val="000907DF"/>
    <w:rsid w:val="00091B16"/>
    <w:rsid w:val="000921A9"/>
    <w:rsid w:val="000A2167"/>
    <w:rsid w:val="000A31E0"/>
    <w:rsid w:val="000A3389"/>
    <w:rsid w:val="000A3993"/>
    <w:rsid w:val="000A48F7"/>
    <w:rsid w:val="000A7BFE"/>
    <w:rsid w:val="000B0E4C"/>
    <w:rsid w:val="000B3E03"/>
    <w:rsid w:val="000B4195"/>
    <w:rsid w:val="000B4B41"/>
    <w:rsid w:val="000B500D"/>
    <w:rsid w:val="000C0405"/>
    <w:rsid w:val="000C2400"/>
    <w:rsid w:val="000C606C"/>
    <w:rsid w:val="000C7CBE"/>
    <w:rsid w:val="000D1861"/>
    <w:rsid w:val="000D5776"/>
    <w:rsid w:val="000D7707"/>
    <w:rsid w:val="000E1281"/>
    <w:rsid w:val="000E5537"/>
    <w:rsid w:val="000F007C"/>
    <w:rsid w:val="000F136D"/>
    <w:rsid w:val="000F1938"/>
    <w:rsid w:val="000F1CCC"/>
    <w:rsid w:val="000F32A0"/>
    <w:rsid w:val="000F5388"/>
    <w:rsid w:val="000F549E"/>
    <w:rsid w:val="000F5563"/>
    <w:rsid w:val="00107024"/>
    <w:rsid w:val="00110719"/>
    <w:rsid w:val="00111D0D"/>
    <w:rsid w:val="00112176"/>
    <w:rsid w:val="0011502F"/>
    <w:rsid w:val="00116359"/>
    <w:rsid w:val="001165FB"/>
    <w:rsid w:val="001174CE"/>
    <w:rsid w:val="00120504"/>
    <w:rsid w:val="00120E6E"/>
    <w:rsid w:val="00122BDB"/>
    <w:rsid w:val="00122F63"/>
    <w:rsid w:val="001257D0"/>
    <w:rsid w:val="00126246"/>
    <w:rsid w:val="0012657A"/>
    <w:rsid w:val="001267D4"/>
    <w:rsid w:val="00132D31"/>
    <w:rsid w:val="00133585"/>
    <w:rsid w:val="00133EF3"/>
    <w:rsid w:val="001343ED"/>
    <w:rsid w:val="00136798"/>
    <w:rsid w:val="00136A94"/>
    <w:rsid w:val="0014031E"/>
    <w:rsid w:val="00143A51"/>
    <w:rsid w:val="0014690C"/>
    <w:rsid w:val="00152E70"/>
    <w:rsid w:val="0015356B"/>
    <w:rsid w:val="001558E1"/>
    <w:rsid w:val="00157AFB"/>
    <w:rsid w:val="00157DCD"/>
    <w:rsid w:val="0016111A"/>
    <w:rsid w:val="00162944"/>
    <w:rsid w:val="00163B0A"/>
    <w:rsid w:val="00163CAD"/>
    <w:rsid w:val="00167E6C"/>
    <w:rsid w:val="0017299E"/>
    <w:rsid w:val="001739B6"/>
    <w:rsid w:val="001758D3"/>
    <w:rsid w:val="001771D0"/>
    <w:rsid w:val="001779C9"/>
    <w:rsid w:val="0018382C"/>
    <w:rsid w:val="00183DED"/>
    <w:rsid w:val="00184265"/>
    <w:rsid w:val="00184912"/>
    <w:rsid w:val="00185B2E"/>
    <w:rsid w:val="00193FF0"/>
    <w:rsid w:val="00194187"/>
    <w:rsid w:val="00196E07"/>
    <w:rsid w:val="001A1065"/>
    <w:rsid w:val="001A4463"/>
    <w:rsid w:val="001A5C1A"/>
    <w:rsid w:val="001B1B95"/>
    <w:rsid w:val="001B1FB6"/>
    <w:rsid w:val="001B55FF"/>
    <w:rsid w:val="001B6E15"/>
    <w:rsid w:val="001C041C"/>
    <w:rsid w:val="001C13F2"/>
    <w:rsid w:val="001C156A"/>
    <w:rsid w:val="001C60FA"/>
    <w:rsid w:val="001C70D7"/>
    <w:rsid w:val="001D4C7B"/>
    <w:rsid w:val="001D6B75"/>
    <w:rsid w:val="001D77D3"/>
    <w:rsid w:val="001E08AB"/>
    <w:rsid w:val="001E140B"/>
    <w:rsid w:val="001E23D9"/>
    <w:rsid w:val="001E4FC5"/>
    <w:rsid w:val="001E5F58"/>
    <w:rsid w:val="001E7D53"/>
    <w:rsid w:val="001E7D8F"/>
    <w:rsid w:val="001F1CAC"/>
    <w:rsid w:val="001F2E05"/>
    <w:rsid w:val="001F3A50"/>
    <w:rsid w:val="001F3E51"/>
    <w:rsid w:val="001F59DF"/>
    <w:rsid w:val="002025B3"/>
    <w:rsid w:val="00204FCA"/>
    <w:rsid w:val="00213BB8"/>
    <w:rsid w:val="00220195"/>
    <w:rsid w:val="00220B6E"/>
    <w:rsid w:val="00222222"/>
    <w:rsid w:val="00227020"/>
    <w:rsid w:val="00227B63"/>
    <w:rsid w:val="00230AE5"/>
    <w:rsid w:val="00233AC5"/>
    <w:rsid w:val="0023408E"/>
    <w:rsid w:val="00236A4E"/>
    <w:rsid w:val="0024018A"/>
    <w:rsid w:val="00240452"/>
    <w:rsid w:val="00241938"/>
    <w:rsid w:val="00241BEE"/>
    <w:rsid w:val="00243C2D"/>
    <w:rsid w:val="002447AC"/>
    <w:rsid w:val="0024728B"/>
    <w:rsid w:val="002478E9"/>
    <w:rsid w:val="00247A7E"/>
    <w:rsid w:val="00247B67"/>
    <w:rsid w:val="0025401F"/>
    <w:rsid w:val="0025553A"/>
    <w:rsid w:val="00255E7C"/>
    <w:rsid w:val="00257530"/>
    <w:rsid w:val="002576CD"/>
    <w:rsid w:val="00267DD0"/>
    <w:rsid w:val="002727A4"/>
    <w:rsid w:val="00277E27"/>
    <w:rsid w:val="002812F1"/>
    <w:rsid w:val="00281632"/>
    <w:rsid w:val="00281C97"/>
    <w:rsid w:val="00282919"/>
    <w:rsid w:val="00283CBD"/>
    <w:rsid w:val="002850ED"/>
    <w:rsid w:val="00286625"/>
    <w:rsid w:val="00287665"/>
    <w:rsid w:val="00290069"/>
    <w:rsid w:val="00290BE7"/>
    <w:rsid w:val="00291848"/>
    <w:rsid w:val="0029207F"/>
    <w:rsid w:val="00294667"/>
    <w:rsid w:val="00294FFE"/>
    <w:rsid w:val="0029537D"/>
    <w:rsid w:val="002977DB"/>
    <w:rsid w:val="002A0381"/>
    <w:rsid w:val="002A372D"/>
    <w:rsid w:val="002A4E61"/>
    <w:rsid w:val="002A64ED"/>
    <w:rsid w:val="002B2C39"/>
    <w:rsid w:val="002B3493"/>
    <w:rsid w:val="002B5D8C"/>
    <w:rsid w:val="002C2368"/>
    <w:rsid w:val="002C49B9"/>
    <w:rsid w:val="002D0D31"/>
    <w:rsid w:val="002D3679"/>
    <w:rsid w:val="002D6F06"/>
    <w:rsid w:val="002E077D"/>
    <w:rsid w:val="002E0EC5"/>
    <w:rsid w:val="002E1DB9"/>
    <w:rsid w:val="002E4754"/>
    <w:rsid w:val="002E5A0F"/>
    <w:rsid w:val="002E7A2D"/>
    <w:rsid w:val="002F0410"/>
    <w:rsid w:val="002F133B"/>
    <w:rsid w:val="002F1641"/>
    <w:rsid w:val="002F2604"/>
    <w:rsid w:val="002F3067"/>
    <w:rsid w:val="002F345E"/>
    <w:rsid w:val="002F5605"/>
    <w:rsid w:val="002F5E16"/>
    <w:rsid w:val="002F632A"/>
    <w:rsid w:val="00305FFF"/>
    <w:rsid w:val="0030673D"/>
    <w:rsid w:val="003100FA"/>
    <w:rsid w:val="00310E2B"/>
    <w:rsid w:val="00312DF2"/>
    <w:rsid w:val="00316029"/>
    <w:rsid w:val="00317014"/>
    <w:rsid w:val="00317A13"/>
    <w:rsid w:val="003209A0"/>
    <w:rsid w:val="00320CBF"/>
    <w:rsid w:val="0032174C"/>
    <w:rsid w:val="003248E3"/>
    <w:rsid w:val="00326968"/>
    <w:rsid w:val="00326E60"/>
    <w:rsid w:val="00330181"/>
    <w:rsid w:val="00333F63"/>
    <w:rsid w:val="00334134"/>
    <w:rsid w:val="00334400"/>
    <w:rsid w:val="00341D72"/>
    <w:rsid w:val="00346EC2"/>
    <w:rsid w:val="0035116F"/>
    <w:rsid w:val="00352FE8"/>
    <w:rsid w:val="0035650C"/>
    <w:rsid w:val="00363C59"/>
    <w:rsid w:val="0036403D"/>
    <w:rsid w:val="00374A5A"/>
    <w:rsid w:val="00375818"/>
    <w:rsid w:val="00380339"/>
    <w:rsid w:val="003808E4"/>
    <w:rsid w:val="00384218"/>
    <w:rsid w:val="00385D49"/>
    <w:rsid w:val="003871CF"/>
    <w:rsid w:val="003877FC"/>
    <w:rsid w:val="00392CA2"/>
    <w:rsid w:val="00393700"/>
    <w:rsid w:val="003950BB"/>
    <w:rsid w:val="003A0A66"/>
    <w:rsid w:val="003A3AB8"/>
    <w:rsid w:val="003A6443"/>
    <w:rsid w:val="003A7047"/>
    <w:rsid w:val="003B0835"/>
    <w:rsid w:val="003B16BF"/>
    <w:rsid w:val="003B1B2C"/>
    <w:rsid w:val="003B2C6D"/>
    <w:rsid w:val="003B6823"/>
    <w:rsid w:val="003B7AA8"/>
    <w:rsid w:val="003C4A7D"/>
    <w:rsid w:val="003C4AF4"/>
    <w:rsid w:val="003C6070"/>
    <w:rsid w:val="003D0797"/>
    <w:rsid w:val="003D1C0C"/>
    <w:rsid w:val="003D280E"/>
    <w:rsid w:val="003D33C6"/>
    <w:rsid w:val="003D4388"/>
    <w:rsid w:val="003D469A"/>
    <w:rsid w:val="003E04A8"/>
    <w:rsid w:val="003E07D6"/>
    <w:rsid w:val="003E1AB6"/>
    <w:rsid w:val="003E1E4E"/>
    <w:rsid w:val="003E39D2"/>
    <w:rsid w:val="003F1127"/>
    <w:rsid w:val="003F2391"/>
    <w:rsid w:val="003F5275"/>
    <w:rsid w:val="003F5854"/>
    <w:rsid w:val="003F6614"/>
    <w:rsid w:val="003F7367"/>
    <w:rsid w:val="00403BB5"/>
    <w:rsid w:val="00405999"/>
    <w:rsid w:val="00412C55"/>
    <w:rsid w:val="00420CB1"/>
    <w:rsid w:val="0042424B"/>
    <w:rsid w:val="00424E25"/>
    <w:rsid w:val="00425C8F"/>
    <w:rsid w:val="00432E6C"/>
    <w:rsid w:val="00440F15"/>
    <w:rsid w:val="00442532"/>
    <w:rsid w:val="00442944"/>
    <w:rsid w:val="0044411A"/>
    <w:rsid w:val="00444BE5"/>
    <w:rsid w:val="00446A49"/>
    <w:rsid w:val="00447015"/>
    <w:rsid w:val="0044709D"/>
    <w:rsid w:val="00450A3F"/>
    <w:rsid w:val="00452670"/>
    <w:rsid w:val="004538C3"/>
    <w:rsid w:val="00457E91"/>
    <w:rsid w:val="004612DC"/>
    <w:rsid w:val="00465A4B"/>
    <w:rsid w:val="00465CAB"/>
    <w:rsid w:val="0047061F"/>
    <w:rsid w:val="00471A57"/>
    <w:rsid w:val="00471D12"/>
    <w:rsid w:val="00473129"/>
    <w:rsid w:val="00474390"/>
    <w:rsid w:val="00475209"/>
    <w:rsid w:val="00477584"/>
    <w:rsid w:val="00477903"/>
    <w:rsid w:val="00477F32"/>
    <w:rsid w:val="004801B0"/>
    <w:rsid w:val="0048051F"/>
    <w:rsid w:val="004813D7"/>
    <w:rsid w:val="00481C22"/>
    <w:rsid w:val="0048554D"/>
    <w:rsid w:val="00485A1F"/>
    <w:rsid w:val="00486571"/>
    <w:rsid w:val="00486B6F"/>
    <w:rsid w:val="00494F25"/>
    <w:rsid w:val="004A243F"/>
    <w:rsid w:val="004A3710"/>
    <w:rsid w:val="004A3ADE"/>
    <w:rsid w:val="004A421B"/>
    <w:rsid w:val="004A55D5"/>
    <w:rsid w:val="004A5C50"/>
    <w:rsid w:val="004B29A0"/>
    <w:rsid w:val="004B2BD5"/>
    <w:rsid w:val="004B3598"/>
    <w:rsid w:val="004C0478"/>
    <w:rsid w:val="004C0647"/>
    <w:rsid w:val="004C1A62"/>
    <w:rsid w:val="004C44F2"/>
    <w:rsid w:val="004C588B"/>
    <w:rsid w:val="004C5F76"/>
    <w:rsid w:val="004C665E"/>
    <w:rsid w:val="004D0249"/>
    <w:rsid w:val="004D0779"/>
    <w:rsid w:val="004D74FF"/>
    <w:rsid w:val="004D792D"/>
    <w:rsid w:val="004E1D74"/>
    <w:rsid w:val="004E2019"/>
    <w:rsid w:val="004E3B85"/>
    <w:rsid w:val="004E49EC"/>
    <w:rsid w:val="004E569A"/>
    <w:rsid w:val="004E57B4"/>
    <w:rsid w:val="004E5B4A"/>
    <w:rsid w:val="004E5FFA"/>
    <w:rsid w:val="004E77FE"/>
    <w:rsid w:val="004F05F3"/>
    <w:rsid w:val="004F4B5E"/>
    <w:rsid w:val="00500178"/>
    <w:rsid w:val="0050124C"/>
    <w:rsid w:val="00504A09"/>
    <w:rsid w:val="00506EF5"/>
    <w:rsid w:val="00507D90"/>
    <w:rsid w:val="005145B7"/>
    <w:rsid w:val="00514FD8"/>
    <w:rsid w:val="00515E26"/>
    <w:rsid w:val="0052211B"/>
    <w:rsid w:val="00522FC5"/>
    <w:rsid w:val="00525536"/>
    <w:rsid w:val="00525B58"/>
    <w:rsid w:val="00532D5C"/>
    <w:rsid w:val="00540739"/>
    <w:rsid w:val="00541F2C"/>
    <w:rsid w:val="00542B26"/>
    <w:rsid w:val="005431A8"/>
    <w:rsid w:val="00545FC3"/>
    <w:rsid w:val="00547265"/>
    <w:rsid w:val="00551403"/>
    <w:rsid w:val="00551C2E"/>
    <w:rsid w:val="0055423C"/>
    <w:rsid w:val="00555E80"/>
    <w:rsid w:val="00560F7A"/>
    <w:rsid w:val="00563CFB"/>
    <w:rsid w:val="005653F1"/>
    <w:rsid w:val="00566895"/>
    <w:rsid w:val="00570F5C"/>
    <w:rsid w:val="00570FDF"/>
    <w:rsid w:val="005750DF"/>
    <w:rsid w:val="0057606F"/>
    <w:rsid w:val="00577685"/>
    <w:rsid w:val="0058069E"/>
    <w:rsid w:val="00584DB2"/>
    <w:rsid w:val="00591D22"/>
    <w:rsid w:val="00594D9F"/>
    <w:rsid w:val="005961F6"/>
    <w:rsid w:val="00597E30"/>
    <w:rsid w:val="005A35F5"/>
    <w:rsid w:val="005A6445"/>
    <w:rsid w:val="005A6AC9"/>
    <w:rsid w:val="005B02E9"/>
    <w:rsid w:val="005B4389"/>
    <w:rsid w:val="005B62D7"/>
    <w:rsid w:val="005B779B"/>
    <w:rsid w:val="005C14F4"/>
    <w:rsid w:val="005C19F7"/>
    <w:rsid w:val="005C1C3D"/>
    <w:rsid w:val="005C2401"/>
    <w:rsid w:val="005C41EF"/>
    <w:rsid w:val="005C54BC"/>
    <w:rsid w:val="005C7C6E"/>
    <w:rsid w:val="005C7CC4"/>
    <w:rsid w:val="005D6593"/>
    <w:rsid w:val="005E05AB"/>
    <w:rsid w:val="005E5033"/>
    <w:rsid w:val="005E6CB7"/>
    <w:rsid w:val="005F2E69"/>
    <w:rsid w:val="005F34DF"/>
    <w:rsid w:val="005F3813"/>
    <w:rsid w:val="00602086"/>
    <w:rsid w:val="00602D72"/>
    <w:rsid w:val="006034C4"/>
    <w:rsid w:val="006035B8"/>
    <w:rsid w:val="006035CB"/>
    <w:rsid w:val="00605BD3"/>
    <w:rsid w:val="00606D25"/>
    <w:rsid w:val="0061060D"/>
    <w:rsid w:val="0061433E"/>
    <w:rsid w:val="006145A8"/>
    <w:rsid w:val="006177F3"/>
    <w:rsid w:val="00622638"/>
    <w:rsid w:val="00625AA6"/>
    <w:rsid w:val="006264AE"/>
    <w:rsid w:val="0063022B"/>
    <w:rsid w:val="006316A0"/>
    <w:rsid w:val="006316FA"/>
    <w:rsid w:val="00633265"/>
    <w:rsid w:val="00635AC6"/>
    <w:rsid w:val="006423B5"/>
    <w:rsid w:val="00642863"/>
    <w:rsid w:val="0064536D"/>
    <w:rsid w:val="0064672C"/>
    <w:rsid w:val="006469D1"/>
    <w:rsid w:val="006476E0"/>
    <w:rsid w:val="006525D7"/>
    <w:rsid w:val="00656175"/>
    <w:rsid w:val="00656B58"/>
    <w:rsid w:val="006570C7"/>
    <w:rsid w:val="0065758C"/>
    <w:rsid w:val="0066232E"/>
    <w:rsid w:val="00662A01"/>
    <w:rsid w:val="00671975"/>
    <w:rsid w:val="00674896"/>
    <w:rsid w:val="00674B46"/>
    <w:rsid w:val="006774A8"/>
    <w:rsid w:val="006779ED"/>
    <w:rsid w:val="0068333F"/>
    <w:rsid w:val="00686553"/>
    <w:rsid w:val="00690385"/>
    <w:rsid w:val="00692A6E"/>
    <w:rsid w:val="006946F3"/>
    <w:rsid w:val="006958CE"/>
    <w:rsid w:val="00695B0E"/>
    <w:rsid w:val="0069655C"/>
    <w:rsid w:val="006A41ED"/>
    <w:rsid w:val="006A5842"/>
    <w:rsid w:val="006A5A89"/>
    <w:rsid w:val="006A5FCE"/>
    <w:rsid w:val="006B3A05"/>
    <w:rsid w:val="006B4D05"/>
    <w:rsid w:val="006B6297"/>
    <w:rsid w:val="006B6630"/>
    <w:rsid w:val="006B74BB"/>
    <w:rsid w:val="006C11B6"/>
    <w:rsid w:val="006C258D"/>
    <w:rsid w:val="006C2D5D"/>
    <w:rsid w:val="006C3180"/>
    <w:rsid w:val="006C6545"/>
    <w:rsid w:val="006C7679"/>
    <w:rsid w:val="006D3A59"/>
    <w:rsid w:val="006D43EF"/>
    <w:rsid w:val="006D494D"/>
    <w:rsid w:val="006D6EE7"/>
    <w:rsid w:val="006D7625"/>
    <w:rsid w:val="006D777A"/>
    <w:rsid w:val="006E3F69"/>
    <w:rsid w:val="006E4A4D"/>
    <w:rsid w:val="006E4DE5"/>
    <w:rsid w:val="006E537F"/>
    <w:rsid w:val="006E589F"/>
    <w:rsid w:val="006E6563"/>
    <w:rsid w:val="006E695D"/>
    <w:rsid w:val="006E7C47"/>
    <w:rsid w:val="006F1A48"/>
    <w:rsid w:val="006F1AD6"/>
    <w:rsid w:val="006F33BD"/>
    <w:rsid w:val="00700E4E"/>
    <w:rsid w:val="00703AAD"/>
    <w:rsid w:val="007076B3"/>
    <w:rsid w:val="00710282"/>
    <w:rsid w:val="00711048"/>
    <w:rsid w:val="00720461"/>
    <w:rsid w:val="00725CDF"/>
    <w:rsid w:val="007266E8"/>
    <w:rsid w:val="00727A30"/>
    <w:rsid w:val="007312F5"/>
    <w:rsid w:val="00735633"/>
    <w:rsid w:val="00735F32"/>
    <w:rsid w:val="00737108"/>
    <w:rsid w:val="00742FE2"/>
    <w:rsid w:val="00745ED6"/>
    <w:rsid w:val="0075149D"/>
    <w:rsid w:val="00753C97"/>
    <w:rsid w:val="00755218"/>
    <w:rsid w:val="00755883"/>
    <w:rsid w:val="00761195"/>
    <w:rsid w:val="00766562"/>
    <w:rsid w:val="0077013F"/>
    <w:rsid w:val="007730E7"/>
    <w:rsid w:val="00773874"/>
    <w:rsid w:val="00774FEB"/>
    <w:rsid w:val="0077506F"/>
    <w:rsid w:val="00775C22"/>
    <w:rsid w:val="00780F0D"/>
    <w:rsid w:val="00783588"/>
    <w:rsid w:val="007912AC"/>
    <w:rsid w:val="00794CD9"/>
    <w:rsid w:val="007960C9"/>
    <w:rsid w:val="007965ED"/>
    <w:rsid w:val="007A0E10"/>
    <w:rsid w:val="007A7865"/>
    <w:rsid w:val="007B04C8"/>
    <w:rsid w:val="007B3D9C"/>
    <w:rsid w:val="007B713F"/>
    <w:rsid w:val="007C1662"/>
    <w:rsid w:val="007C3E6A"/>
    <w:rsid w:val="007C4AB1"/>
    <w:rsid w:val="007C6220"/>
    <w:rsid w:val="007C73E7"/>
    <w:rsid w:val="007C7887"/>
    <w:rsid w:val="007D0AE6"/>
    <w:rsid w:val="007D3CF0"/>
    <w:rsid w:val="007D45AE"/>
    <w:rsid w:val="007E045B"/>
    <w:rsid w:val="007E05C7"/>
    <w:rsid w:val="007E06AF"/>
    <w:rsid w:val="007E1874"/>
    <w:rsid w:val="007E4AA0"/>
    <w:rsid w:val="007E6208"/>
    <w:rsid w:val="007F0E19"/>
    <w:rsid w:val="007F2A51"/>
    <w:rsid w:val="007F38A1"/>
    <w:rsid w:val="007F4776"/>
    <w:rsid w:val="0080713A"/>
    <w:rsid w:val="00807288"/>
    <w:rsid w:val="00810478"/>
    <w:rsid w:val="00812BA1"/>
    <w:rsid w:val="00813A00"/>
    <w:rsid w:val="00816640"/>
    <w:rsid w:val="00821BB1"/>
    <w:rsid w:val="00823025"/>
    <w:rsid w:val="00823CF6"/>
    <w:rsid w:val="0082649F"/>
    <w:rsid w:val="00827231"/>
    <w:rsid w:val="0083240A"/>
    <w:rsid w:val="00835944"/>
    <w:rsid w:val="00837CDE"/>
    <w:rsid w:val="0084101A"/>
    <w:rsid w:val="00842B90"/>
    <w:rsid w:val="00843DAF"/>
    <w:rsid w:val="00851B50"/>
    <w:rsid w:val="00853AA2"/>
    <w:rsid w:val="00853EAE"/>
    <w:rsid w:val="008611CC"/>
    <w:rsid w:val="00861E81"/>
    <w:rsid w:val="008648B7"/>
    <w:rsid w:val="00867D5F"/>
    <w:rsid w:val="0087075A"/>
    <w:rsid w:val="00871E52"/>
    <w:rsid w:val="00872244"/>
    <w:rsid w:val="00880D9C"/>
    <w:rsid w:val="00881ED8"/>
    <w:rsid w:val="0088308E"/>
    <w:rsid w:val="00883E71"/>
    <w:rsid w:val="0088467C"/>
    <w:rsid w:val="0088469C"/>
    <w:rsid w:val="00884884"/>
    <w:rsid w:val="00885162"/>
    <w:rsid w:val="008903D3"/>
    <w:rsid w:val="0089172D"/>
    <w:rsid w:val="00891DF2"/>
    <w:rsid w:val="00892BB8"/>
    <w:rsid w:val="00892F2B"/>
    <w:rsid w:val="00892FA6"/>
    <w:rsid w:val="008939B2"/>
    <w:rsid w:val="00893A05"/>
    <w:rsid w:val="008978D2"/>
    <w:rsid w:val="008A0086"/>
    <w:rsid w:val="008A263D"/>
    <w:rsid w:val="008A44E6"/>
    <w:rsid w:val="008A59F6"/>
    <w:rsid w:val="008B2A03"/>
    <w:rsid w:val="008B315C"/>
    <w:rsid w:val="008B3359"/>
    <w:rsid w:val="008B3754"/>
    <w:rsid w:val="008B3F05"/>
    <w:rsid w:val="008B44E7"/>
    <w:rsid w:val="008B7EC4"/>
    <w:rsid w:val="008C153A"/>
    <w:rsid w:val="008C5464"/>
    <w:rsid w:val="008C66B1"/>
    <w:rsid w:val="008D0442"/>
    <w:rsid w:val="008D1A7E"/>
    <w:rsid w:val="008D1E8E"/>
    <w:rsid w:val="008D284E"/>
    <w:rsid w:val="008D33F6"/>
    <w:rsid w:val="008D3C24"/>
    <w:rsid w:val="008D5384"/>
    <w:rsid w:val="008D6A7E"/>
    <w:rsid w:val="008D7215"/>
    <w:rsid w:val="008E000A"/>
    <w:rsid w:val="008E1552"/>
    <w:rsid w:val="008E1DA5"/>
    <w:rsid w:val="008E6739"/>
    <w:rsid w:val="008F4187"/>
    <w:rsid w:val="008F7A1C"/>
    <w:rsid w:val="009011A7"/>
    <w:rsid w:val="009011CE"/>
    <w:rsid w:val="009027C7"/>
    <w:rsid w:val="00905205"/>
    <w:rsid w:val="009052D7"/>
    <w:rsid w:val="00905DF2"/>
    <w:rsid w:val="009062A3"/>
    <w:rsid w:val="009141D3"/>
    <w:rsid w:val="0091585E"/>
    <w:rsid w:val="009172E6"/>
    <w:rsid w:val="009241BA"/>
    <w:rsid w:val="00925A1B"/>
    <w:rsid w:val="00925F2C"/>
    <w:rsid w:val="00934904"/>
    <w:rsid w:val="00943857"/>
    <w:rsid w:val="0094396B"/>
    <w:rsid w:val="0094718F"/>
    <w:rsid w:val="0095151F"/>
    <w:rsid w:val="0095386E"/>
    <w:rsid w:val="009545B4"/>
    <w:rsid w:val="009546B1"/>
    <w:rsid w:val="00956A5C"/>
    <w:rsid w:val="0096196E"/>
    <w:rsid w:val="009702F3"/>
    <w:rsid w:val="00973C75"/>
    <w:rsid w:val="0097708C"/>
    <w:rsid w:val="009770CE"/>
    <w:rsid w:val="0097781E"/>
    <w:rsid w:val="009805BC"/>
    <w:rsid w:val="00981A3C"/>
    <w:rsid w:val="009828B1"/>
    <w:rsid w:val="009833B6"/>
    <w:rsid w:val="009834BE"/>
    <w:rsid w:val="009844C5"/>
    <w:rsid w:val="009912DB"/>
    <w:rsid w:val="0099168D"/>
    <w:rsid w:val="00991768"/>
    <w:rsid w:val="00991A48"/>
    <w:rsid w:val="009953F2"/>
    <w:rsid w:val="00995EF8"/>
    <w:rsid w:val="009965A5"/>
    <w:rsid w:val="00996BDB"/>
    <w:rsid w:val="0099799B"/>
    <w:rsid w:val="00997FF2"/>
    <w:rsid w:val="009A0BF4"/>
    <w:rsid w:val="009A1109"/>
    <w:rsid w:val="009A2947"/>
    <w:rsid w:val="009A2A3B"/>
    <w:rsid w:val="009A5A0F"/>
    <w:rsid w:val="009B2323"/>
    <w:rsid w:val="009B2727"/>
    <w:rsid w:val="009B3453"/>
    <w:rsid w:val="009B6AB5"/>
    <w:rsid w:val="009B79B9"/>
    <w:rsid w:val="009C146A"/>
    <w:rsid w:val="009C1728"/>
    <w:rsid w:val="009C3735"/>
    <w:rsid w:val="009C6285"/>
    <w:rsid w:val="009C66E2"/>
    <w:rsid w:val="009C7E1D"/>
    <w:rsid w:val="009D22EE"/>
    <w:rsid w:val="009D3723"/>
    <w:rsid w:val="009D3991"/>
    <w:rsid w:val="009D3D20"/>
    <w:rsid w:val="009D5BC6"/>
    <w:rsid w:val="009E116D"/>
    <w:rsid w:val="009E1BCB"/>
    <w:rsid w:val="009E35C4"/>
    <w:rsid w:val="009E3DDD"/>
    <w:rsid w:val="009E6E0A"/>
    <w:rsid w:val="009F05C0"/>
    <w:rsid w:val="00A0515E"/>
    <w:rsid w:val="00A06CE4"/>
    <w:rsid w:val="00A07A40"/>
    <w:rsid w:val="00A10BF3"/>
    <w:rsid w:val="00A13B34"/>
    <w:rsid w:val="00A15168"/>
    <w:rsid w:val="00A1558C"/>
    <w:rsid w:val="00A16C3D"/>
    <w:rsid w:val="00A21642"/>
    <w:rsid w:val="00A21F3D"/>
    <w:rsid w:val="00A245C6"/>
    <w:rsid w:val="00A24F7B"/>
    <w:rsid w:val="00A27704"/>
    <w:rsid w:val="00A27AE8"/>
    <w:rsid w:val="00A305C9"/>
    <w:rsid w:val="00A33C0A"/>
    <w:rsid w:val="00A40C87"/>
    <w:rsid w:val="00A45EE4"/>
    <w:rsid w:val="00A475AF"/>
    <w:rsid w:val="00A52230"/>
    <w:rsid w:val="00A526EF"/>
    <w:rsid w:val="00A5493F"/>
    <w:rsid w:val="00A5572B"/>
    <w:rsid w:val="00A56A61"/>
    <w:rsid w:val="00A6005E"/>
    <w:rsid w:val="00A600C9"/>
    <w:rsid w:val="00A6270B"/>
    <w:rsid w:val="00A63728"/>
    <w:rsid w:val="00A676F4"/>
    <w:rsid w:val="00A707F6"/>
    <w:rsid w:val="00A7275F"/>
    <w:rsid w:val="00A72F6B"/>
    <w:rsid w:val="00A73BCF"/>
    <w:rsid w:val="00A7483A"/>
    <w:rsid w:val="00A75D51"/>
    <w:rsid w:val="00A75F8B"/>
    <w:rsid w:val="00A8005A"/>
    <w:rsid w:val="00A81EBC"/>
    <w:rsid w:val="00A85269"/>
    <w:rsid w:val="00A85C7C"/>
    <w:rsid w:val="00A911F8"/>
    <w:rsid w:val="00A93AAE"/>
    <w:rsid w:val="00A9524B"/>
    <w:rsid w:val="00A976CE"/>
    <w:rsid w:val="00AA1B1D"/>
    <w:rsid w:val="00AA2F86"/>
    <w:rsid w:val="00AB06A2"/>
    <w:rsid w:val="00AB0A71"/>
    <w:rsid w:val="00AB0FDE"/>
    <w:rsid w:val="00AB1307"/>
    <w:rsid w:val="00AB167C"/>
    <w:rsid w:val="00AB19EA"/>
    <w:rsid w:val="00AB2B5E"/>
    <w:rsid w:val="00AB5577"/>
    <w:rsid w:val="00AB5C5C"/>
    <w:rsid w:val="00AC032B"/>
    <w:rsid w:val="00AC29A9"/>
    <w:rsid w:val="00AC70B7"/>
    <w:rsid w:val="00AC70D7"/>
    <w:rsid w:val="00AD693D"/>
    <w:rsid w:val="00AD6C99"/>
    <w:rsid w:val="00AE083E"/>
    <w:rsid w:val="00AE4E5A"/>
    <w:rsid w:val="00AE549B"/>
    <w:rsid w:val="00AF52A5"/>
    <w:rsid w:val="00B0753C"/>
    <w:rsid w:val="00B102BD"/>
    <w:rsid w:val="00B110BB"/>
    <w:rsid w:val="00B1567D"/>
    <w:rsid w:val="00B17C44"/>
    <w:rsid w:val="00B20184"/>
    <w:rsid w:val="00B204DE"/>
    <w:rsid w:val="00B216E5"/>
    <w:rsid w:val="00B23A3A"/>
    <w:rsid w:val="00B24E14"/>
    <w:rsid w:val="00B3081D"/>
    <w:rsid w:val="00B309A6"/>
    <w:rsid w:val="00B3208C"/>
    <w:rsid w:val="00B33241"/>
    <w:rsid w:val="00B36F78"/>
    <w:rsid w:val="00B373A9"/>
    <w:rsid w:val="00B37978"/>
    <w:rsid w:val="00B4068C"/>
    <w:rsid w:val="00B4403A"/>
    <w:rsid w:val="00B506EF"/>
    <w:rsid w:val="00B50B99"/>
    <w:rsid w:val="00B521AF"/>
    <w:rsid w:val="00B525CA"/>
    <w:rsid w:val="00B53C5C"/>
    <w:rsid w:val="00B54C53"/>
    <w:rsid w:val="00B605C7"/>
    <w:rsid w:val="00B61474"/>
    <w:rsid w:val="00B6620D"/>
    <w:rsid w:val="00B6629C"/>
    <w:rsid w:val="00B70922"/>
    <w:rsid w:val="00B8324D"/>
    <w:rsid w:val="00B847AE"/>
    <w:rsid w:val="00B85732"/>
    <w:rsid w:val="00B9124C"/>
    <w:rsid w:val="00B92267"/>
    <w:rsid w:val="00B9490A"/>
    <w:rsid w:val="00B95E88"/>
    <w:rsid w:val="00B974B6"/>
    <w:rsid w:val="00BA303F"/>
    <w:rsid w:val="00BA3CF1"/>
    <w:rsid w:val="00BA5061"/>
    <w:rsid w:val="00BA624B"/>
    <w:rsid w:val="00BB1A48"/>
    <w:rsid w:val="00BB1FC2"/>
    <w:rsid w:val="00BB2D45"/>
    <w:rsid w:val="00BB3EDD"/>
    <w:rsid w:val="00BB4207"/>
    <w:rsid w:val="00BB61C7"/>
    <w:rsid w:val="00BC0BE1"/>
    <w:rsid w:val="00BC1955"/>
    <w:rsid w:val="00BC1C67"/>
    <w:rsid w:val="00BC3097"/>
    <w:rsid w:val="00BC3406"/>
    <w:rsid w:val="00BD1B44"/>
    <w:rsid w:val="00BD1FDA"/>
    <w:rsid w:val="00BD5193"/>
    <w:rsid w:val="00BD5411"/>
    <w:rsid w:val="00BD544F"/>
    <w:rsid w:val="00BD6007"/>
    <w:rsid w:val="00BD6119"/>
    <w:rsid w:val="00BD6B00"/>
    <w:rsid w:val="00BE1906"/>
    <w:rsid w:val="00BE3355"/>
    <w:rsid w:val="00BE74FD"/>
    <w:rsid w:val="00BF0774"/>
    <w:rsid w:val="00BF16E5"/>
    <w:rsid w:val="00BF230F"/>
    <w:rsid w:val="00BF3131"/>
    <w:rsid w:val="00BF3742"/>
    <w:rsid w:val="00BF3F47"/>
    <w:rsid w:val="00BF4DB4"/>
    <w:rsid w:val="00BF5A98"/>
    <w:rsid w:val="00BF7BFC"/>
    <w:rsid w:val="00C03F07"/>
    <w:rsid w:val="00C04D12"/>
    <w:rsid w:val="00C05CBC"/>
    <w:rsid w:val="00C0729E"/>
    <w:rsid w:val="00C10B73"/>
    <w:rsid w:val="00C11AF5"/>
    <w:rsid w:val="00C121CB"/>
    <w:rsid w:val="00C162AD"/>
    <w:rsid w:val="00C171CD"/>
    <w:rsid w:val="00C22846"/>
    <w:rsid w:val="00C2424D"/>
    <w:rsid w:val="00C27C7C"/>
    <w:rsid w:val="00C41BF0"/>
    <w:rsid w:val="00C41C2C"/>
    <w:rsid w:val="00C46A8F"/>
    <w:rsid w:val="00C46E78"/>
    <w:rsid w:val="00C4708A"/>
    <w:rsid w:val="00C47105"/>
    <w:rsid w:val="00C50FC9"/>
    <w:rsid w:val="00C51D66"/>
    <w:rsid w:val="00C54F1B"/>
    <w:rsid w:val="00C61E2A"/>
    <w:rsid w:val="00C6431A"/>
    <w:rsid w:val="00C66143"/>
    <w:rsid w:val="00C672AB"/>
    <w:rsid w:val="00C73068"/>
    <w:rsid w:val="00C738FF"/>
    <w:rsid w:val="00C832D5"/>
    <w:rsid w:val="00C85283"/>
    <w:rsid w:val="00C85654"/>
    <w:rsid w:val="00C85DF0"/>
    <w:rsid w:val="00C862DB"/>
    <w:rsid w:val="00C8721D"/>
    <w:rsid w:val="00C935E2"/>
    <w:rsid w:val="00CA6B24"/>
    <w:rsid w:val="00CA7270"/>
    <w:rsid w:val="00CB1313"/>
    <w:rsid w:val="00CB4242"/>
    <w:rsid w:val="00CB6C06"/>
    <w:rsid w:val="00CC0460"/>
    <w:rsid w:val="00CC192C"/>
    <w:rsid w:val="00CC1CDC"/>
    <w:rsid w:val="00CC2C3B"/>
    <w:rsid w:val="00CC552B"/>
    <w:rsid w:val="00CD1EA4"/>
    <w:rsid w:val="00CD4A76"/>
    <w:rsid w:val="00CE3417"/>
    <w:rsid w:val="00CE38B6"/>
    <w:rsid w:val="00CE3AC7"/>
    <w:rsid w:val="00CE3B7A"/>
    <w:rsid w:val="00CE5551"/>
    <w:rsid w:val="00CE6853"/>
    <w:rsid w:val="00CF0E89"/>
    <w:rsid w:val="00CF22DE"/>
    <w:rsid w:val="00CF7A5F"/>
    <w:rsid w:val="00D025D1"/>
    <w:rsid w:val="00D0307D"/>
    <w:rsid w:val="00D120E9"/>
    <w:rsid w:val="00D12A0A"/>
    <w:rsid w:val="00D2011E"/>
    <w:rsid w:val="00D22984"/>
    <w:rsid w:val="00D26265"/>
    <w:rsid w:val="00D273C2"/>
    <w:rsid w:val="00D318C2"/>
    <w:rsid w:val="00D32018"/>
    <w:rsid w:val="00D331D0"/>
    <w:rsid w:val="00D350B6"/>
    <w:rsid w:val="00D371C2"/>
    <w:rsid w:val="00D40DE5"/>
    <w:rsid w:val="00D42ED7"/>
    <w:rsid w:val="00D45E68"/>
    <w:rsid w:val="00D46D82"/>
    <w:rsid w:val="00D47FE2"/>
    <w:rsid w:val="00D533DB"/>
    <w:rsid w:val="00D55A45"/>
    <w:rsid w:val="00D6038E"/>
    <w:rsid w:val="00D610E8"/>
    <w:rsid w:val="00D6190F"/>
    <w:rsid w:val="00D62504"/>
    <w:rsid w:val="00D62BEB"/>
    <w:rsid w:val="00D63690"/>
    <w:rsid w:val="00D64B51"/>
    <w:rsid w:val="00D6573B"/>
    <w:rsid w:val="00D66B7F"/>
    <w:rsid w:val="00D702FD"/>
    <w:rsid w:val="00D71269"/>
    <w:rsid w:val="00D733C6"/>
    <w:rsid w:val="00D7498A"/>
    <w:rsid w:val="00D8336D"/>
    <w:rsid w:val="00D84483"/>
    <w:rsid w:val="00D85145"/>
    <w:rsid w:val="00D85240"/>
    <w:rsid w:val="00D85CCF"/>
    <w:rsid w:val="00D86816"/>
    <w:rsid w:val="00D90E79"/>
    <w:rsid w:val="00D921C3"/>
    <w:rsid w:val="00D93E45"/>
    <w:rsid w:val="00D94ACB"/>
    <w:rsid w:val="00D95648"/>
    <w:rsid w:val="00D96D30"/>
    <w:rsid w:val="00D97907"/>
    <w:rsid w:val="00DA0A1F"/>
    <w:rsid w:val="00DA0E0D"/>
    <w:rsid w:val="00DA54D1"/>
    <w:rsid w:val="00DA5AC5"/>
    <w:rsid w:val="00DB1591"/>
    <w:rsid w:val="00DC0918"/>
    <w:rsid w:val="00DC0977"/>
    <w:rsid w:val="00DC1D54"/>
    <w:rsid w:val="00DC2292"/>
    <w:rsid w:val="00DC3188"/>
    <w:rsid w:val="00DC5E87"/>
    <w:rsid w:val="00DC6165"/>
    <w:rsid w:val="00DD1B2C"/>
    <w:rsid w:val="00DD2EC7"/>
    <w:rsid w:val="00DE184D"/>
    <w:rsid w:val="00DE2608"/>
    <w:rsid w:val="00DE396F"/>
    <w:rsid w:val="00DE3DD2"/>
    <w:rsid w:val="00DE4821"/>
    <w:rsid w:val="00DE5E3A"/>
    <w:rsid w:val="00DE7B0F"/>
    <w:rsid w:val="00DF12FA"/>
    <w:rsid w:val="00E02179"/>
    <w:rsid w:val="00E0472D"/>
    <w:rsid w:val="00E06198"/>
    <w:rsid w:val="00E064B8"/>
    <w:rsid w:val="00E1294B"/>
    <w:rsid w:val="00E13ED5"/>
    <w:rsid w:val="00E1757C"/>
    <w:rsid w:val="00E20DD0"/>
    <w:rsid w:val="00E22246"/>
    <w:rsid w:val="00E25D0D"/>
    <w:rsid w:val="00E304A3"/>
    <w:rsid w:val="00E32D2B"/>
    <w:rsid w:val="00E34B8A"/>
    <w:rsid w:val="00E3562E"/>
    <w:rsid w:val="00E3652B"/>
    <w:rsid w:val="00E42A26"/>
    <w:rsid w:val="00E43982"/>
    <w:rsid w:val="00E44F96"/>
    <w:rsid w:val="00E466B4"/>
    <w:rsid w:val="00E46BA4"/>
    <w:rsid w:val="00E46E12"/>
    <w:rsid w:val="00E47477"/>
    <w:rsid w:val="00E500F7"/>
    <w:rsid w:val="00E568FF"/>
    <w:rsid w:val="00E605D7"/>
    <w:rsid w:val="00E61EB0"/>
    <w:rsid w:val="00E62776"/>
    <w:rsid w:val="00E64FF9"/>
    <w:rsid w:val="00E65C2A"/>
    <w:rsid w:val="00E66A8B"/>
    <w:rsid w:val="00E764C4"/>
    <w:rsid w:val="00E76862"/>
    <w:rsid w:val="00E77532"/>
    <w:rsid w:val="00E77A82"/>
    <w:rsid w:val="00E8458A"/>
    <w:rsid w:val="00E92FD4"/>
    <w:rsid w:val="00E93133"/>
    <w:rsid w:val="00E964ED"/>
    <w:rsid w:val="00E97FE0"/>
    <w:rsid w:val="00EA1A63"/>
    <w:rsid w:val="00EA32B1"/>
    <w:rsid w:val="00EA7E3E"/>
    <w:rsid w:val="00EB20C3"/>
    <w:rsid w:val="00EB628A"/>
    <w:rsid w:val="00EC1E8F"/>
    <w:rsid w:val="00EC54E2"/>
    <w:rsid w:val="00EC56EE"/>
    <w:rsid w:val="00ED0806"/>
    <w:rsid w:val="00ED3636"/>
    <w:rsid w:val="00ED62D6"/>
    <w:rsid w:val="00ED6EA1"/>
    <w:rsid w:val="00ED718C"/>
    <w:rsid w:val="00EE2DF6"/>
    <w:rsid w:val="00EE5476"/>
    <w:rsid w:val="00EF1C3B"/>
    <w:rsid w:val="00EF517E"/>
    <w:rsid w:val="00F0073A"/>
    <w:rsid w:val="00F02672"/>
    <w:rsid w:val="00F02888"/>
    <w:rsid w:val="00F0322B"/>
    <w:rsid w:val="00F0527F"/>
    <w:rsid w:val="00F05C70"/>
    <w:rsid w:val="00F06D03"/>
    <w:rsid w:val="00F0754C"/>
    <w:rsid w:val="00F23083"/>
    <w:rsid w:val="00F23962"/>
    <w:rsid w:val="00F317E8"/>
    <w:rsid w:val="00F337D4"/>
    <w:rsid w:val="00F357F0"/>
    <w:rsid w:val="00F363A8"/>
    <w:rsid w:val="00F36D5A"/>
    <w:rsid w:val="00F378EB"/>
    <w:rsid w:val="00F37ED7"/>
    <w:rsid w:val="00F40AB5"/>
    <w:rsid w:val="00F42487"/>
    <w:rsid w:val="00F45921"/>
    <w:rsid w:val="00F50290"/>
    <w:rsid w:val="00F52FBF"/>
    <w:rsid w:val="00F5681C"/>
    <w:rsid w:val="00F573A9"/>
    <w:rsid w:val="00F64922"/>
    <w:rsid w:val="00F652E5"/>
    <w:rsid w:val="00F65C4F"/>
    <w:rsid w:val="00F776C1"/>
    <w:rsid w:val="00F811B4"/>
    <w:rsid w:val="00F837A7"/>
    <w:rsid w:val="00F83B7A"/>
    <w:rsid w:val="00F83EAB"/>
    <w:rsid w:val="00F84577"/>
    <w:rsid w:val="00F91263"/>
    <w:rsid w:val="00F9175D"/>
    <w:rsid w:val="00F92257"/>
    <w:rsid w:val="00F9271F"/>
    <w:rsid w:val="00F92EF2"/>
    <w:rsid w:val="00F959FA"/>
    <w:rsid w:val="00F974F2"/>
    <w:rsid w:val="00FA48DC"/>
    <w:rsid w:val="00FA5302"/>
    <w:rsid w:val="00FA6032"/>
    <w:rsid w:val="00FA63B9"/>
    <w:rsid w:val="00FA6D2F"/>
    <w:rsid w:val="00FB0BFF"/>
    <w:rsid w:val="00FB2C11"/>
    <w:rsid w:val="00FC008A"/>
    <w:rsid w:val="00FC1CFC"/>
    <w:rsid w:val="00FC5C9D"/>
    <w:rsid w:val="00FC5F76"/>
    <w:rsid w:val="00FD2228"/>
    <w:rsid w:val="00FD25B7"/>
    <w:rsid w:val="00FE002A"/>
    <w:rsid w:val="00FE1EFA"/>
    <w:rsid w:val="00FE22D0"/>
    <w:rsid w:val="00FE4D4B"/>
    <w:rsid w:val="00FE6C21"/>
    <w:rsid w:val="00FE7830"/>
    <w:rsid w:val="00FF4038"/>
    <w:rsid w:val="00FF61A3"/>
    <w:rsid w:val="0171211C"/>
    <w:rsid w:val="01BA4A19"/>
    <w:rsid w:val="02261029"/>
    <w:rsid w:val="02380C0C"/>
    <w:rsid w:val="026E0C46"/>
    <w:rsid w:val="035C5045"/>
    <w:rsid w:val="03E5035A"/>
    <w:rsid w:val="0403148B"/>
    <w:rsid w:val="04193C6E"/>
    <w:rsid w:val="04AB5C42"/>
    <w:rsid w:val="04B77FD2"/>
    <w:rsid w:val="04DC21A7"/>
    <w:rsid w:val="05300538"/>
    <w:rsid w:val="057849B3"/>
    <w:rsid w:val="058F300A"/>
    <w:rsid w:val="06026817"/>
    <w:rsid w:val="06112C07"/>
    <w:rsid w:val="063F6C84"/>
    <w:rsid w:val="07691B21"/>
    <w:rsid w:val="078139A0"/>
    <w:rsid w:val="07AF0572"/>
    <w:rsid w:val="07CA1146"/>
    <w:rsid w:val="08C00BC3"/>
    <w:rsid w:val="08D33FA3"/>
    <w:rsid w:val="08E6252E"/>
    <w:rsid w:val="090B5543"/>
    <w:rsid w:val="097D0AA4"/>
    <w:rsid w:val="09CB4CD3"/>
    <w:rsid w:val="0A3C10C8"/>
    <w:rsid w:val="0A493E2D"/>
    <w:rsid w:val="0AD613FF"/>
    <w:rsid w:val="0AF620C7"/>
    <w:rsid w:val="0B9A1FFB"/>
    <w:rsid w:val="0BBE5979"/>
    <w:rsid w:val="0BE423C1"/>
    <w:rsid w:val="0C4E77AA"/>
    <w:rsid w:val="0C5C7E64"/>
    <w:rsid w:val="0CC223BD"/>
    <w:rsid w:val="0D5C2637"/>
    <w:rsid w:val="0DC46064"/>
    <w:rsid w:val="0ECD275C"/>
    <w:rsid w:val="0F0639BA"/>
    <w:rsid w:val="0FCE37E5"/>
    <w:rsid w:val="100B0005"/>
    <w:rsid w:val="101D6AF6"/>
    <w:rsid w:val="102324C2"/>
    <w:rsid w:val="105A1A73"/>
    <w:rsid w:val="105B6408"/>
    <w:rsid w:val="10AE3596"/>
    <w:rsid w:val="10C8129B"/>
    <w:rsid w:val="1146787E"/>
    <w:rsid w:val="116737B5"/>
    <w:rsid w:val="11AC51A3"/>
    <w:rsid w:val="11B85C8B"/>
    <w:rsid w:val="12461929"/>
    <w:rsid w:val="125A0EB2"/>
    <w:rsid w:val="12707A0F"/>
    <w:rsid w:val="12874FEB"/>
    <w:rsid w:val="12984724"/>
    <w:rsid w:val="12CA0EF8"/>
    <w:rsid w:val="13070C77"/>
    <w:rsid w:val="13444A57"/>
    <w:rsid w:val="13577CBA"/>
    <w:rsid w:val="13794A1C"/>
    <w:rsid w:val="13D3741A"/>
    <w:rsid w:val="13E93FC1"/>
    <w:rsid w:val="1461776C"/>
    <w:rsid w:val="14797725"/>
    <w:rsid w:val="151E7261"/>
    <w:rsid w:val="152C347C"/>
    <w:rsid w:val="154F4C04"/>
    <w:rsid w:val="15694BDB"/>
    <w:rsid w:val="15910012"/>
    <w:rsid w:val="15C110C4"/>
    <w:rsid w:val="16170390"/>
    <w:rsid w:val="16213545"/>
    <w:rsid w:val="162C4310"/>
    <w:rsid w:val="167C5922"/>
    <w:rsid w:val="169C3C7F"/>
    <w:rsid w:val="16CE36C8"/>
    <w:rsid w:val="174F4CA3"/>
    <w:rsid w:val="175740C7"/>
    <w:rsid w:val="17EC130A"/>
    <w:rsid w:val="18F90F15"/>
    <w:rsid w:val="19153102"/>
    <w:rsid w:val="192B4E46"/>
    <w:rsid w:val="196460F9"/>
    <w:rsid w:val="19E020D4"/>
    <w:rsid w:val="19F611DD"/>
    <w:rsid w:val="1A34267E"/>
    <w:rsid w:val="1ADD5EA3"/>
    <w:rsid w:val="1BB41BA2"/>
    <w:rsid w:val="1BEA63EA"/>
    <w:rsid w:val="1C392B41"/>
    <w:rsid w:val="1C745EC0"/>
    <w:rsid w:val="1C7E23D0"/>
    <w:rsid w:val="1C9378D2"/>
    <w:rsid w:val="1CDB70F7"/>
    <w:rsid w:val="1D3D7906"/>
    <w:rsid w:val="1DB02A2D"/>
    <w:rsid w:val="1E1374C4"/>
    <w:rsid w:val="1E2F547D"/>
    <w:rsid w:val="1E52515E"/>
    <w:rsid w:val="1F1B4B4D"/>
    <w:rsid w:val="1F2D6F85"/>
    <w:rsid w:val="1F766F38"/>
    <w:rsid w:val="1F870D5F"/>
    <w:rsid w:val="1F9034DE"/>
    <w:rsid w:val="1FAA2958"/>
    <w:rsid w:val="1FC3227C"/>
    <w:rsid w:val="20026EE2"/>
    <w:rsid w:val="20BA6A19"/>
    <w:rsid w:val="211317CD"/>
    <w:rsid w:val="215C59D9"/>
    <w:rsid w:val="221E56B1"/>
    <w:rsid w:val="22AA4CED"/>
    <w:rsid w:val="22ED19A4"/>
    <w:rsid w:val="2369138D"/>
    <w:rsid w:val="23757E2F"/>
    <w:rsid w:val="239A32F4"/>
    <w:rsid w:val="23ED1CC1"/>
    <w:rsid w:val="23F63452"/>
    <w:rsid w:val="23FC49E3"/>
    <w:rsid w:val="242F6297"/>
    <w:rsid w:val="24392B0D"/>
    <w:rsid w:val="245F4F33"/>
    <w:rsid w:val="246062EC"/>
    <w:rsid w:val="24925AAC"/>
    <w:rsid w:val="24F6274A"/>
    <w:rsid w:val="25256752"/>
    <w:rsid w:val="25C428AA"/>
    <w:rsid w:val="26C80447"/>
    <w:rsid w:val="27912C60"/>
    <w:rsid w:val="27C429C5"/>
    <w:rsid w:val="27CE15A1"/>
    <w:rsid w:val="281216BD"/>
    <w:rsid w:val="283E17B3"/>
    <w:rsid w:val="289114B6"/>
    <w:rsid w:val="28A515A2"/>
    <w:rsid w:val="28AF15F0"/>
    <w:rsid w:val="29063412"/>
    <w:rsid w:val="29364CBA"/>
    <w:rsid w:val="2947685F"/>
    <w:rsid w:val="294A0F80"/>
    <w:rsid w:val="294B5DC6"/>
    <w:rsid w:val="29571276"/>
    <w:rsid w:val="295F5B78"/>
    <w:rsid w:val="297A00CB"/>
    <w:rsid w:val="29A22AFA"/>
    <w:rsid w:val="29FD54EE"/>
    <w:rsid w:val="2A256C33"/>
    <w:rsid w:val="2A822B8D"/>
    <w:rsid w:val="2AC21E7D"/>
    <w:rsid w:val="2B1743DF"/>
    <w:rsid w:val="2B1978E5"/>
    <w:rsid w:val="2B6143F9"/>
    <w:rsid w:val="2B6B76F8"/>
    <w:rsid w:val="2B7062BB"/>
    <w:rsid w:val="2B9110BB"/>
    <w:rsid w:val="2BDD6474"/>
    <w:rsid w:val="2BF3313A"/>
    <w:rsid w:val="2C3F3AA8"/>
    <w:rsid w:val="2C722C11"/>
    <w:rsid w:val="2D08461F"/>
    <w:rsid w:val="2D172C03"/>
    <w:rsid w:val="2D2010F8"/>
    <w:rsid w:val="2D2D4DED"/>
    <w:rsid w:val="2E782484"/>
    <w:rsid w:val="2E813A2E"/>
    <w:rsid w:val="2E95689D"/>
    <w:rsid w:val="2F200273"/>
    <w:rsid w:val="2F5527C5"/>
    <w:rsid w:val="2F5702EB"/>
    <w:rsid w:val="2FD063F4"/>
    <w:rsid w:val="2FDB6C8B"/>
    <w:rsid w:val="308237D1"/>
    <w:rsid w:val="30D616CB"/>
    <w:rsid w:val="31094A5E"/>
    <w:rsid w:val="31216E03"/>
    <w:rsid w:val="31254D8C"/>
    <w:rsid w:val="31322E97"/>
    <w:rsid w:val="3282032A"/>
    <w:rsid w:val="32C264F2"/>
    <w:rsid w:val="330F1AEE"/>
    <w:rsid w:val="33311B92"/>
    <w:rsid w:val="336E083F"/>
    <w:rsid w:val="339E0041"/>
    <w:rsid w:val="33CF392D"/>
    <w:rsid w:val="33E00128"/>
    <w:rsid w:val="33F505BF"/>
    <w:rsid w:val="34140F50"/>
    <w:rsid w:val="342A7EBB"/>
    <w:rsid w:val="343F3ED9"/>
    <w:rsid w:val="347926F9"/>
    <w:rsid w:val="34C3033B"/>
    <w:rsid w:val="353C7C78"/>
    <w:rsid w:val="353D29CC"/>
    <w:rsid w:val="357F1C6D"/>
    <w:rsid w:val="35CE02F0"/>
    <w:rsid w:val="35E63B02"/>
    <w:rsid w:val="35F26FC0"/>
    <w:rsid w:val="36DD23B7"/>
    <w:rsid w:val="36E25894"/>
    <w:rsid w:val="37067FCF"/>
    <w:rsid w:val="375261CE"/>
    <w:rsid w:val="375334A7"/>
    <w:rsid w:val="377B56A4"/>
    <w:rsid w:val="378C7D21"/>
    <w:rsid w:val="37A82E56"/>
    <w:rsid w:val="37B93789"/>
    <w:rsid w:val="37E40B8A"/>
    <w:rsid w:val="37EF4766"/>
    <w:rsid w:val="38CF7865"/>
    <w:rsid w:val="38FA32B9"/>
    <w:rsid w:val="3906102E"/>
    <w:rsid w:val="39381DFA"/>
    <w:rsid w:val="393E7A75"/>
    <w:rsid w:val="39565EE7"/>
    <w:rsid w:val="39702B1B"/>
    <w:rsid w:val="399F745E"/>
    <w:rsid w:val="39A71E6F"/>
    <w:rsid w:val="3A1F7270"/>
    <w:rsid w:val="3A392918"/>
    <w:rsid w:val="3A3D284A"/>
    <w:rsid w:val="3A8B45CF"/>
    <w:rsid w:val="3A900B55"/>
    <w:rsid w:val="3ACD502A"/>
    <w:rsid w:val="3AFD42D2"/>
    <w:rsid w:val="3B495C8F"/>
    <w:rsid w:val="3BE2327D"/>
    <w:rsid w:val="3C090BBF"/>
    <w:rsid w:val="3CB5751C"/>
    <w:rsid w:val="3CBA0534"/>
    <w:rsid w:val="3D13101B"/>
    <w:rsid w:val="3D5F222C"/>
    <w:rsid w:val="3DA5741D"/>
    <w:rsid w:val="3DBB238D"/>
    <w:rsid w:val="3DCA0EC2"/>
    <w:rsid w:val="3DDE768A"/>
    <w:rsid w:val="3DE03261"/>
    <w:rsid w:val="3DEA337D"/>
    <w:rsid w:val="3E364204"/>
    <w:rsid w:val="3EFC2C5D"/>
    <w:rsid w:val="3F2A5A1C"/>
    <w:rsid w:val="3F590AE4"/>
    <w:rsid w:val="3F5B5EB6"/>
    <w:rsid w:val="3F7734BF"/>
    <w:rsid w:val="3FEA1D7E"/>
    <w:rsid w:val="4018151F"/>
    <w:rsid w:val="40C217A3"/>
    <w:rsid w:val="418C64F5"/>
    <w:rsid w:val="41FC41AE"/>
    <w:rsid w:val="420A1F6F"/>
    <w:rsid w:val="435C3E69"/>
    <w:rsid w:val="43E03284"/>
    <w:rsid w:val="43FB282B"/>
    <w:rsid w:val="44180A11"/>
    <w:rsid w:val="44B52623"/>
    <w:rsid w:val="44EF0ED7"/>
    <w:rsid w:val="455E057A"/>
    <w:rsid w:val="45B3770E"/>
    <w:rsid w:val="464562AC"/>
    <w:rsid w:val="466519A0"/>
    <w:rsid w:val="467426A9"/>
    <w:rsid w:val="46855A32"/>
    <w:rsid w:val="468968E2"/>
    <w:rsid w:val="468F4140"/>
    <w:rsid w:val="469C5A2D"/>
    <w:rsid w:val="46ED71CE"/>
    <w:rsid w:val="475C7812"/>
    <w:rsid w:val="475E1EE5"/>
    <w:rsid w:val="476F6B5B"/>
    <w:rsid w:val="47AE4505"/>
    <w:rsid w:val="488F14EE"/>
    <w:rsid w:val="48F76045"/>
    <w:rsid w:val="49321E98"/>
    <w:rsid w:val="49C52FA2"/>
    <w:rsid w:val="49E83D46"/>
    <w:rsid w:val="4A292213"/>
    <w:rsid w:val="4BEA285C"/>
    <w:rsid w:val="4CB803EA"/>
    <w:rsid w:val="4CBC244A"/>
    <w:rsid w:val="4CDF5B22"/>
    <w:rsid w:val="4D5C1707"/>
    <w:rsid w:val="4D9F7C36"/>
    <w:rsid w:val="4DA35D20"/>
    <w:rsid w:val="4DC3170E"/>
    <w:rsid w:val="4E653374"/>
    <w:rsid w:val="4E681E52"/>
    <w:rsid w:val="4E841996"/>
    <w:rsid w:val="4E941C74"/>
    <w:rsid w:val="4EE67A38"/>
    <w:rsid w:val="4FB85A97"/>
    <w:rsid w:val="4FFB3B91"/>
    <w:rsid w:val="500D5297"/>
    <w:rsid w:val="501642C1"/>
    <w:rsid w:val="505A5FF9"/>
    <w:rsid w:val="50AB0BA0"/>
    <w:rsid w:val="50BD6BD5"/>
    <w:rsid w:val="50D61323"/>
    <w:rsid w:val="51024614"/>
    <w:rsid w:val="51900037"/>
    <w:rsid w:val="52085A82"/>
    <w:rsid w:val="52986A18"/>
    <w:rsid w:val="52D92409"/>
    <w:rsid w:val="53137773"/>
    <w:rsid w:val="5330242C"/>
    <w:rsid w:val="5369210C"/>
    <w:rsid w:val="541E47DD"/>
    <w:rsid w:val="545C52F2"/>
    <w:rsid w:val="546530F4"/>
    <w:rsid w:val="546A3E1E"/>
    <w:rsid w:val="54B8773C"/>
    <w:rsid w:val="54EA7388"/>
    <w:rsid w:val="54F66F41"/>
    <w:rsid w:val="55315130"/>
    <w:rsid w:val="55420BAC"/>
    <w:rsid w:val="554D0960"/>
    <w:rsid w:val="55917EE7"/>
    <w:rsid w:val="55A03EEB"/>
    <w:rsid w:val="561F7505"/>
    <w:rsid w:val="56231982"/>
    <w:rsid w:val="563B7964"/>
    <w:rsid w:val="56424FA2"/>
    <w:rsid w:val="56637909"/>
    <w:rsid w:val="56D547DC"/>
    <w:rsid w:val="570874EA"/>
    <w:rsid w:val="57186665"/>
    <w:rsid w:val="575B25B4"/>
    <w:rsid w:val="57B81ADF"/>
    <w:rsid w:val="58062D29"/>
    <w:rsid w:val="581F48DE"/>
    <w:rsid w:val="58313520"/>
    <w:rsid w:val="58601977"/>
    <w:rsid w:val="58B65AA2"/>
    <w:rsid w:val="59454CCE"/>
    <w:rsid w:val="59486A6D"/>
    <w:rsid w:val="59DE4291"/>
    <w:rsid w:val="5A1D3A71"/>
    <w:rsid w:val="5A633B4E"/>
    <w:rsid w:val="5A6E4C44"/>
    <w:rsid w:val="5AF9682B"/>
    <w:rsid w:val="5B1D557F"/>
    <w:rsid w:val="5B422D11"/>
    <w:rsid w:val="5B5A654F"/>
    <w:rsid w:val="5B700A34"/>
    <w:rsid w:val="5B972DF1"/>
    <w:rsid w:val="5C0020BC"/>
    <w:rsid w:val="5C0F073D"/>
    <w:rsid w:val="5C4C686C"/>
    <w:rsid w:val="5C6F13BD"/>
    <w:rsid w:val="5C7722CE"/>
    <w:rsid w:val="5CD5091E"/>
    <w:rsid w:val="5CDE5279"/>
    <w:rsid w:val="5D585511"/>
    <w:rsid w:val="5DA73AA1"/>
    <w:rsid w:val="5E3C2153"/>
    <w:rsid w:val="5E6744D1"/>
    <w:rsid w:val="5E7F022B"/>
    <w:rsid w:val="5E9106D8"/>
    <w:rsid w:val="5EB13F85"/>
    <w:rsid w:val="5EC00026"/>
    <w:rsid w:val="5F1F4437"/>
    <w:rsid w:val="5F35443E"/>
    <w:rsid w:val="5FAA6092"/>
    <w:rsid w:val="605C5A34"/>
    <w:rsid w:val="607009A6"/>
    <w:rsid w:val="60740C7C"/>
    <w:rsid w:val="60E246A4"/>
    <w:rsid w:val="610657FE"/>
    <w:rsid w:val="61A05702"/>
    <w:rsid w:val="63CC427C"/>
    <w:rsid w:val="63E51332"/>
    <w:rsid w:val="642F7433"/>
    <w:rsid w:val="6442637A"/>
    <w:rsid w:val="645848FD"/>
    <w:rsid w:val="647D14A2"/>
    <w:rsid w:val="648029B9"/>
    <w:rsid w:val="64914E13"/>
    <w:rsid w:val="649914C0"/>
    <w:rsid w:val="64A80B5A"/>
    <w:rsid w:val="6566068C"/>
    <w:rsid w:val="657D383D"/>
    <w:rsid w:val="65D019B8"/>
    <w:rsid w:val="65E25E59"/>
    <w:rsid w:val="666C56AD"/>
    <w:rsid w:val="66A658E8"/>
    <w:rsid w:val="66F84973"/>
    <w:rsid w:val="670067B8"/>
    <w:rsid w:val="67020021"/>
    <w:rsid w:val="675D30FE"/>
    <w:rsid w:val="6787729B"/>
    <w:rsid w:val="679E136A"/>
    <w:rsid w:val="67B02771"/>
    <w:rsid w:val="682F78C7"/>
    <w:rsid w:val="683010FE"/>
    <w:rsid w:val="68820E5B"/>
    <w:rsid w:val="68B93ADB"/>
    <w:rsid w:val="68C857DA"/>
    <w:rsid w:val="68DE362D"/>
    <w:rsid w:val="6900347A"/>
    <w:rsid w:val="690E5E3C"/>
    <w:rsid w:val="699D7421"/>
    <w:rsid w:val="6A1016AF"/>
    <w:rsid w:val="6A2C35D7"/>
    <w:rsid w:val="6AF21DAC"/>
    <w:rsid w:val="6B091445"/>
    <w:rsid w:val="6B65785E"/>
    <w:rsid w:val="6BA9544D"/>
    <w:rsid w:val="6BB40298"/>
    <w:rsid w:val="6BB96548"/>
    <w:rsid w:val="6BD46B76"/>
    <w:rsid w:val="6C001EBE"/>
    <w:rsid w:val="6C015B5C"/>
    <w:rsid w:val="6C384D59"/>
    <w:rsid w:val="6C411B2C"/>
    <w:rsid w:val="6C71134D"/>
    <w:rsid w:val="6C745E1B"/>
    <w:rsid w:val="6D6D0214"/>
    <w:rsid w:val="6D9D15EC"/>
    <w:rsid w:val="6EB5235D"/>
    <w:rsid w:val="6EDB3EC4"/>
    <w:rsid w:val="6F6B25D0"/>
    <w:rsid w:val="6F8C1811"/>
    <w:rsid w:val="6FE174F7"/>
    <w:rsid w:val="701D4F2C"/>
    <w:rsid w:val="708230C2"/>
    <w:rsid w:val="709E22F6"/>
    <w:rsid w:val="70C63BC8"/>
    <w:rsid w:val="71C72D02"/>
    <w:rsid w:val="72247E5D"/>
    <w:rsid w:val="726E11A1"/>
    <w:rsid w:val="726F3461"/>
    <w:rsid w:val="73E9278C"/>
    <w:rsid w:val="74051691"/>
    <w:rsid w:val="754F039C"/>
    <w:rsid w:val="7590095D"/>
    <w:rsid w:val="75C92045"/>
    <w:rsid w:val="76237F94"/>
    <w:rsid w:val="76403487"/>
    <w:rsid w:val="76EA57E2"/>
    <w:rsid w:val="77CF6893"/>
    <w:rsid w:val="78432834"/>
    <w:rsid w:val="786F7D15"/>
    <w:rsid w:val="791A7616"/>
    <w:rsid w:val="79592505"/>
    <w:rsid w:val="79765CD5"/>
    <w:rsid w:val="79916B40"/>
    <w:rsid w:val="79BA117D"/>
    <w:rsid w:val="79E26E5F"/>
    <w:rsid w:val="7A014A5A"/>
    <w:rsid w:val="7A281DF2"/>
    <w:rsid w:val="7A5F430C"/>
    <w:rsid w:val="7A8971D6"/>
    <w:rsid w:val="7AA5772A"/>
    <w:rsid w:val="7AE85F45"/>
    <w:rsid w:val="7B9419D8"/>
    <w:rsid w:val="7BA15E23"/>
    <w:rsid w:val="7BCC6282"/>
    <w:rsid w:val="7C1C2C40"/>
    <w:rsid w:val="7C235F95"/>
    <w:rsid w:val="7CD71E60"/>
    <w:rsid w:val="7CFC38F5"/>
    <w:rsid w:val="7D3B0861"/>
    <w:rsid w:val="7D6D25D8"/>
    <w:rsid w:val="7D945105"/>
    <w:rsid w:val="7D961C9E"/>
    <w:rsid w:val="7DAD025C"/>
    <w:rsid w:val="7DE20EA4"/>
    <w:rsid w:val="7DF02E65"/>
    <w:rsid w:val="7EAC6EB5"/>
    <w:rsid w:val="7EEF3669"/>
    <w:rsid w:val="7F024E32"/>
    <w:rsid w:val="7F1A5AAF"/>
    <w:rsid w:val="7F2347BB"/>
    <w:rsid w:val="7F481A70"/>
    <w:rsid w:val="7F7818B1"/>
    <w:rsid w:val="7F7E42AE"/>
    <w:rsid w:val="7FAB2EB2"/>
    <w:rsid w:val="7FD15292"/>
    <w:rsid w:val="7FEB3B4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nhideWhenUsed="0" w:uiPriority="99" w:semiHidden="0" w:name="heading 2" w:locked="1"/>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iPriority="99" w:name="Document Map" w:locked="1"/>
    <w:lsdException w:uiPriority="99" w:name="Plain Text" w:locked="1"/>
    <w:lsdException w:uiPriority="99" w:name="E-mail Signature" w:locked="1"/>
    <w:lsdException w:qFormat="1"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pPr>
    <w:rPr>
      <w:rFonts w:ascii="Calibri" w:hAnsi="Calibri" w:eastAsia="宋体" w:cs="Times New Roman"/>
      <w:sz w:val="22"/>
      <w:szCs w:val="22"/>
      <w:lang w:val="en-US" w:eastAsia="en-US" w:bidi="ar-SA"/>
    </w:rPr>
  </w:style>
  <w:style w:type="paragraph" w:styleId="2">
    <w:name w:val="heading 1"/>
    <w:basedOn w:val="1"/>
    <w:next w:val="1"/>
    <w:link w:val="21"/>
    <w:qFormat/>
    <w:locked/>
    <w:uiPriority w:val="99"/>
    <w:pPr>
      <w:keepNext/>
      <w:keepLines/>
      <w:spacing w:before="340" w:after="330" w:line="578" w:lineRule="auto"/>
      <w:outlineLvl w:val="0"/>
    </w:pPr>
    <w:rPr>
      <w:b/>
      <w:bCs/>
      <w:kern w:val="44"/>
      <w:sz w:val="44"/>
      <w:szCs w:val="44"/>
    </w:rPr>
  </w:style>
  <w:style w:type="paragraph" w:styleId="3">
    <w:name w:val="heading 2"/>
    <w:basedOn w:val="1"/>
    <w:next w:val="4"/>
    <w:link w:val="20"/>
    <w:qFormat/>
    <w:locked/>
    <w:uiPriority w:val="99"/>
    <w:pPr>
      <w:keepNext/>
      <w:keepLines/>
      <w:spacing w:before="260" w:after="260" w:line="413" w:lineRule="auto"/>
      <w:outlineLvl w:val="1"/>
    </w:pPr>
    <w:rPr>
      <w:rFonts w:ascii="Arial" w:hAnsi="Arial" w:eastAsia="黑体"/>
      <w:b/>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locked/>
    <w:uiPriority w:val="99"/>
    <w:pPr>
      <w:ind w:firstLine="420" w:firstLineChars="200"/>
    </w:pPr>
  </w:style>
  <w:style w:type="paragraph" w:styleId="5">
    <w:name w:val="Document Map"/>
    <w:basedOn w:val="1"/>
    <w:link w:val="31"/>
    <w:semiHidden/>
    <w:unhideWhenUsed/>
    <w:qFormat/>
    <w:locked/>
    <w:uiPriority w:val="99"/>
    <w:rPr>
      <w:rFonts w:ascii="宋体"/>
      <w:sz w:val="18"/>
      <w:szCs w:val="18"/>
    </w:rPr>
  </w:style>
  <w:style w:type="paragraph" w:styleId="6">
    <w:name w:val="annotation text"/>
    <w:basedOn w:val="1"/>
    <w:link w:val="22"/>
    <w:qFormat/>
    <w:uiPriority w:val="99"/>
  </w:style>
  <w:style w:type="paragraph" w:styleId="7">
    <w:name w:val="Balloon Text"/>
    <w:basedOn w:val="1"/>
    <w:link w:val="24"/>
    <w:qFormat/>
    <w:uiPriority w:val="99"/>
    <w:pPr>
      <w:spacing w:after="0" w:line="240" w:lineRule="auto"/>
    </w:pPr>
    <w:rPr>
      <w:sz w:val="18"/>
      <w:szCs w:val="18"/>
    </w:rPr>
  </w:style>
  <w:style w:type="paragraph" w:styleId="8">
    <w:name w:val="footer"/>
    <w:basedOn w:val="1"/>
    <w:link w:val="25"/>
    <w:qFormat/>
    <w:uiPriority w:val="99"/>
    <w:pPr>
      <w:tabs>
        <w:tab w:val="center" w:pos="4153"/>
        <w:tab w:val="right" w:pos="8306"/>
      </w:tabs>
      <w:snapToGrid w:val="0"/>
      <w:spacing w:line="240" w:lineRule="auto"/>
    </w:pPr>
    <w:rPr>
      <w:rFonts w:ascii="Times New Roman" w:hAnsi="Times New Roman"/>
      <w:sz w:val="18"/>
      <w:szCs w:val="18"/>
      <w:lang w:eastAsia="zh-CN"/>
    </w:rPr>
  </w:style>
  <w:style w:type="paragraph" w:styleId="9">
    <w:name w:val="header"/>
    <w:basedOn w:val="1"/>
    <w:link w:val="26"/>
    <w:qFormat/>
    <w:uiPriority w:val="99"/>
    <w:pPr>
      <w:pBdr>
        <w:bottom w:val="single" w:color="auto" w:sz="6" w:space="1"/>
      </w:pBdr>
      <w:tabs>
        <w:tab w:val="center" w:pos="4153"/>
        <w:tab w:val="right" w:pos="8306"/>
      </w:tabs>
      <w:snapToGrid w:val="0"/>
      <w:spacing w:line="240" w:lineRule="auto"/>
      <w:jc w:val="center"/>
    </w:pPr>
    <w:rPr>
      <w:rFonts w:ascii="Times New Roman" w:hAnsi="Times New Roman"/>
      <w:sz w:val="18"/>
      <w:szCs w:val="18"/>
      <w:lang w:eastAsia="zh-CN"/>
    </w:rPr>
  </w:style>
  <w:style w:type="paragraph" w:styleId="10">
    <w:name w:val="Normal (Web)"/>
    <w:basedOn w:val="1"/>
    <w:semiHidden/>
    <w:unhideWhenUsed/>
    <w:qFormat/>
    <w:locked/>
    <w:uiPriority w:val="99"/>
    <w:pPr>
      <w:widowControl/>
      <w:spacing w:before="100" w:beforeAutospacing="1" w:after="100" w:afterAutospacing="1"/>
    </w:pPr>
    <w:rPr>
      <w:rFonts w:ascii="宋体" w:hAnsi="宋体" w:cs="宋体"/>
      <w:sz w:val="24"/>
      <w:szCs w:val="24"/>
    </w:rPr>
  </w:style>
  <w:style w:type="paragraph" w:styleId="11">
    <w:name w:val="annotation subject"/>
    <w:basedOn w:val="6"/>
    <w:next w:val="6"/>
    <w:link w:val="23"/>
    <w:qFormat/>
    <w:uiPriority w:val="99"/>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qFormat/>
    <w:uiPriority w:val="99"/>
    <w:rPr>
      <w:rFonts w:cs="Times New Roman"/>
    </w:rPr>
  </w:style>
  <w:style w:type="character" w:styleId="16">
    <w:name w:val="FollowedHyperlink"/>
    <w:qFormat/>
    <w:uiPriority w:val="99"/>
    <w:rPr>
      <w:rFonts w:cs="Times New Roman"/>
      <w:color w:val="000000"/>
      <w:u w:val="none"/>
    </w:rPr>
  </w:style>
  <w:style w:type="character" w:styleId="17">
    <w:name w:val="Hyperlink"/>
    <w:basedOn w:val="14"/>
    <w:qFormat/>
    <w:uiPriority w:val="99"/>
    <w:rPr>
      <w:rFonts w:cs="Times New Roman"/>
      <w:color w:val="0000FF"/>
      <w:u w:val="single"/>
    </w:rPr>
  </w:style>
  <w:style w:type="character" w:styleId="18">
    <w:name w:val="annotation reference"/>
    <w:qFormat/>
    <w:uiPriority w:val="99"/>
    <w:rPr>
      <w:rFonts w:cs="Times New Roman"/>
      <w:sz w:val="21"/>
      <w:szCs w:val="21"/>
    </w:rPr>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0">
    <w:name w:val="标题 2 字符"/>
    <w:link w:val="3"/>
    <w:semiHidden/>
    <w:qFormat/>
    <w:locked/>
    <w:uiPriority w:val="99"/>
    <w:rPr>
      <w:rFonts w:ascii="Cambria" w:hAnsi="Cambria" w:eastAsia="宋体" w:cs="Times New Roman"/>
      <w:b/>
      <w:bCs/>
      <w:kern w:val="0"/>
      <w:sz w:val="32"/>
      <w:szCs w:val="32"/>
      <w:lang w:eastAsia="en-US"/>
    </w:rPr>
  </w:style>
  <w:style w:type="character" w:customStyle="1" w:styleId="21">
    <w:name w:val="标题 1 字符"/>
    <w:link w:val="2"/>
    <w:qFormat/>
    <w:locked/>
    <w:uiPriority w:val="99"/>
    <w:rPr>
      <w:rFonts w:cs="Times New Roman"/>
      <w:b/>
      <w:bCs/>
      <w:kern w:val="44"/>
      <w:sz w:val="44"/>
      <w:szCs w:val="44"/>
      <w:lang w:eastAsia="en-US"/>
    </w:rPr>
  </w:style>
  <w:style w:type="character" w:customStyle="1" w:styleId="22">
    <w:name w:val="批注文字 字符"/>
    <w:link w:val="6"/>
    <w:qFormat/>
    <w:locked/>
    <w:uiPriority w:val="99"/>
    <w:rPr>
      <w:rFonts w:cs="Times New Roman"/>
      <w:sz w:val="22"/>
      <w:szCs w:val="22"/>
      <w:lang w:eastAsia="en-US"/>
    </w:rPr>
  </w:style>
  <w:style w:type="character" w:customStyle="1" w:styleId="23">
    <w:name w:val="批注主题 字符"/>
    <w:link w:val="11"/>
    <w:semiHidden/>
    <w:qFormat/>
    <w:locked/>
    <w:uiPriority w:val="99"/>
    <w:rPr>
      <w:rFonts w:cs="Times New Roman"/>
      <w:b/>
      <w:bCs/>
      <w:sz w:val="22"/>
      <w:szCs w:val="22"/>
      <w:lang w:eastAsia="en-US"/>
    </w:rPr>
  </w:style>
  <w:style w:type="character" w:customStyle="1" w:styleId="24">
    <w:name w:val="批注框文本 字符"/>
    <w:link w:val="7"/>
    <w:semiHidden/>
    <w:qFormat/>
    <w:locked/>
    <w:uiPriority w:val="99"/>
    <w:rPr>
      <w:rFonts w:cs="Times New Roman"/>
      <w:sz w:val="18"/>
      <w:szCs w:val="18"/>
      <w:lang w:eastAsia="en-US"/>
    </w:rPr>
  </w:style>
  <w:style w:type="character" w:customStyle="1" w:styleId="25">
    <w:name w:val="页脚 字符"/>
    <w:link w:val="8"/>
    <w:qFormat/>
    <w:locked/>
    <w:uiPriority w:val="99"/>
    <w:rPr>
      <w:rFonts w:cs="Times New Roman"/>
      <w:sz w:val="18"/>
    </w:rPr>
  </w:style>
  <w:style w:type="character" w:customStyle="1" w:styleId="26">
    <w:name w:val="页眉 字符"/>
    <w:link w:val="9"/>
    <w:qFormat/>
    <w:locked/>
    <w:uiPriority w:val="99"/>
    <w:rPr>
      <w:rFonts w:cs="Times New Roman"/>
      <w:sz w:val="18"/>
    </w:rPr>
  </w:style>
  <w:style w:type="paragraph" w:customStyle="1" w:styleId="27">
    <w:name w:val="p0"/>
    <w:basedOn w:val="1"/>
    <w:qFormat/>
    <w:uiPriority w:val="99"/>
    <w:pPr>
      <w:widowControl/>
      <w:spacing w:before="100" w:beforeAutospacing="1" w:after="100" w:afterAutospacing="1" w:line="240" w:lineRule="auto"/>
    </w:pPr>
    <w:rPr>
      <w:rFonts w:ascii="宋体" w:hAnsi="宋体" w:cs="宋体"/>
      <w:sz w:val="24"/>
      <w:szCs w:val="24"/>
      <w:lang w:eastAsia="zh-CN"/>
    </w:rPr>
  </w:style>
  <w:style w:type="paragraph" w:customStyle="1" w:styleId="28">
    <w:name w:val="列出段落1"/>
    <w:basedOn w:val="1"/>
    <w:qFormat/>
    <w:uiPriority w:val="99"/>
    <w:pPr>
      <w:ind w:firstLine="420" w:firstLineChars="200"/>
    </w:pPr>
  </w:style>
  <w:style w:type="paragraph" w:customStyle="1" w:styleId="29">
    <w:name w:val="列出段落2"/>
    <w:basedOn w:val="1"/>
    <w:qFormat/>
    <w:uiPriority w:val="99"/>
    <w:pPr>
      <w:spacing w:after="0" w:line="240" w:lineRule="auto"/>
      <w:ind w:firstLine="420" w:firstLineChars="200"/>
      <w:jc w:val="both"/>
    </w:pPr>
    <w:rPr>
      <w:kern w:val="2"/>
      <w:sz w:val="21"/>
      <w:szCs w:val="24"/>
      <w:lang w:eastAsia="zh-CN"/>
    </w:rPr>
  </w:style>
  <w:style w:type="paragraph" w:customStyle="1" w:styleId="30">
    <w:name w:val="列出段落3"/>
    <w:basedOn w:val="1"/>
    <w:qFormat/>
    <w:uiPriority w:val="99"/>
    <w:pPr>
      <w:ind w:firstLine="420" w:firstLineChars="200"/>
    </w:pPr>
  </w:style>
  <w:style w:type="character" w:customStyle="1" w:styleId="31">
    <w:name w:val="文档结构图 字符"/>
    <w:link w:val="5"/>
    <w:semiHidden/>
    <w:qFormat/>
    <w:uiPriority w:val="99"/>
    <w:rPr>
      <w:rFonts w:ascii="宋体" w:hAnsi="Calibri"/>
      <w:sz w:val="18"/>
      <w:szCs w:val="18"/>
      <w:lang w:eastAsia="en-US"/>
    </w:rPr>
  </w:style>
  <w:style w:type="paragraph" w:customStyle="1" w:styleId="32">
    <w:name w:val="修订1"/>
    <w:hidden/>
    <w:semiHidden/>
    <w:qFormat/>
    <w:uiPriority w:val="99"/>
    <w:rPr>
      <w:rFonts w:ascii="Calibri" w:hAnsi="Calibri" w:eastAsia="宋体" w:cs="Times New Roman"/>
      <w:sz w:val="22"/>
      <w:szCs w:val="22"/>
      <w:lang w:val="en-US" w:eastAsia="en-US" w:bidi="ar-SA"/>
    </w:rPr>
  </w:style>
  <w:style w:type="paragraph" w:customStyle="1" w:styleId="33">
    <w:name w:val="纯文本1"/>
    <w:basedOn w:val="1"/>
    <w:qFormat/>
    <w:uiPriority w:val="0"/>
    <w:pPr>
      <w:adjustRightInd w:val="0"/>
      <w:spacing w:after="0" w:line="240" w:lineRule="auto"/>
      <w:jc w:val="both"/>
      <w:textAlignment w:val="baseline"/>
    </w:pPr>
    <w:rPr>
      <w:rFonts w:ascii="宋体" w:hAnsi="Courier New" w:eastAsia="楷体_GB2312"/>
      <w:kern w:val="2"/>
      <w:sz w:val="26"/>
      <w:szCs w:val="20"/>
      <w:lang w:eastAsia="zh-CN"/>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13</Pages>
  <Words>6435</Words>
  <Characters>6916</Characters>
  <Lines>51</Lines>
  <Paragraphs>14</Paragraphs>
  <TotalTime>0</TotalTime>
  <ScaleCrop>false</ScaleCrop>
  <LinksUpToDate>false</LinksUpToDate>
  <CharactersWithSpaces>6939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2016-09-29T01:37:00Z</dcterms:created>
  <dc:creator>Administrator</dc:creator>
  <cp:lastModifiedBy>Vincent</cp:lastModifiedBy>
  <cp:lastPrinted>2023-08-02T08:09:00Z</cp:lastPrinted>
  <dcterms:modified xsi:type="dcterms:W3CDTF">2025-12-25T08:02:07Z</dcterms:modified>
  <dc:title>常州市建设工程招标公告</dc:title>
  <cp:revision>341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B849F36123B44F4081B77D0E7CDBE303_13</vt:lpwstr>
  </property>
  <property fmtid="{D5CDD505-2E9C-101B-9397-08002B2CF9AE}" pid="4" name="KSOTemplateDocerSaveRecord">
    <vt:lpwstr>eyJoZGlkIjoiZjQwZTgxMjU1NWVmNTMwYzMzMWQ2NGM5MTEyZjgwNjAiLCJ1c2VySWQiOiI3ODA4MzA4OTYifQ==</vt:lpwstr>
  </property>
</Properties>
</file>