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center"/>
        <w:rPr>
          <w:rFonts w:ascii="宋体" w:hAnsi="宋体" w:cs="宋体"/>
          <w:b/>
          <w:bCs/>
          <w:color w:val="auto"/>
          <w:sz w:val="32"/>
          <w:szCs w:val="32"/>
          <w:highlight w:val="none"/>
        </w:rPr>
      </w:pPr>
      <w:permStart w:id="0" w:edGrp="everyone"/>
      <w:r>
        <w:rPr>
          <w:rFonts w:hint="eastAsia" w:ascii="宋体" w:hAnsi="宋体"/>
          <w:color w:val="auto"/>
          <w:sz w:val="32"/>
          <w:szCs w:val="32"/>
          <w:highlight w:val="none"/>
        </w:rPr>
        <w:t xml:space="preserve"> </w:t>
      </w:r>
      <w:r>
        <w:rPr>
          <w:rFonts w:hint="eastAsia" w:ascii="宋体" w:hAnsi="宋体"/>
          <w:color w:val="auto"/>
          <w:sz w:val="32"/>
          <w:szCs w:val="32"/>
          <w:highlight w:val="none"/>
          <w:lang w:eastAsia="zh-CN"/>
        </w:rPr>
        <w:t>领航大厦物业管理服务项目</w:t>
      </w:r>
      <w:r>
        <w:rPr>
          <w:rFonts w:hint="eastAsia" w:ascii="宋体" w:hAnsi="宋体"/>
          <w:color w:val="auto"/>
          <w:sz w:val="32"/>
          <w:szCs w:val="32"/>
          <w:highlight w:val="none"/>
        </w:rPr>
        <w:t>招标公告</w:t>
      </w:r>
    </w:p>
    <w:permEnd w:id="0"/>
    <w:p>
      <w:pPr>
        <w:snapToGrid w:val="0"/>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一、项目基本情况</w:t>
      </w:r>
    </w:p>
    <w:p>
      <w:pPr>
        <w:snapToGrid w:val="0"/>
        <w:spacing w:line="500" w:lineRule="exact"/>
        <w:ind w:firstLine="420" w:firstLineChars="200"/>
        <w:rPr>
          <w:rFonts w:hint="default" w:ascii="宋体" w:hAnsi="宋体" w:eastAsia="宋体" w:cs="宋体"/>
          <w:bCs/>
          <w:color w:val="auto"/>
          <w:szCs w:val="21"/>
          <w:highlight w:val="none"/>
          <w:lang w:val="en-US" w:eastAsia="zh-CN"/>
        </w:rPr>
      </w:pPr>
      <w:r>
        <w:rPr>
          <w:rFonts w:hint="eastAsia" w:ascii="宋体" w:hAnsi="宋体" w:cs="宋体"/>
          <w:color w:val="auto"/>
          <w:szCs w:val="21"/>
          <w:highlight w:val="none"/>
        </w:rPr>
        <w:t>1.项目编号：</w:t>
      </w:r>
      <w:permStart w:id="1" w:edGrp="everyone"/>
      <w:r>
        <w:rPr>
          <w:rFonts w:hint="eastAsia" w:ascii="宋体" w:hAnsi="宋体" w:eastAsia="宋体" w:cs="宋体"/>
          <w:bCs/>
          <w:color w:val="auto"/>
          <w:szCs w:val="21"/>
          <w:highlight w:val="none"/>
          <w:lang w:val="en-US" w:eastAsia="zh-CN"/>
        </w:rPr>
        <w:t xml:space="preserve"> ZB-JS-2023-007</w:t>
      </w:r>
    </w:p>
    <w:permEnd w:id="1"/>
    <w:p>
      <w:pPr>
        <w:snapToGrid w:val="0"/>
        <w:spacing w:line="500" w:lineRule="exact"/>
        <w:ind w:firstLine="420" w:firstLineChars="200"/>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rPr>
        <w:t>2.项目名称：</w:t>
      </w:r>
      <w:permStart w:id="2" w:edGrp="everyone"/>
      <w:r>
        <w:rPr>
          <w:rFonts w:ascii="宋体" w:hAnsi="宋体" w:cs="宋体"/>
          <w:bCs/>
          <w:color w:val="auto"/>
          <w:szCs w:val="21"/>
          <w:highlight w:val="none"/>
        </w:rPr>
        <w:t xml:space="preserve"> </w:t>
      </w:r>
      <w:r>
        <w:rPr>
          <w:rFonts w:hint="eastAsia" w:ascii="宋体" w:hAnsi="宋体" w:cs="宋体"/>
          <w:bCs/>
          <w:color w:val="auto"/>
          <w:szCs w:val="21"/>
          <w:highlight w:val="none"/>
          <w:lang w:eastAsia="zh-CN"/>
        </w:rPr>
        <w:t>领航大厦物业管理服务项目</w:t>
      </w:r>
    </w:p>
    <w:permEnd w:id="2"/>
    <w:p>
      <w:pPr>
        <w:snapToGrid w:val="0"/>
        <w:spacing w:line="50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3.预算金额：</w:t>
      </w:r>
      <w:permStart w:id="3" w:edGrp="everyone"/>
      <w:r>
        <w:rPr>
          <w:rFonts w:hint="eastAsia" w:ascii="宋体" w:hAnsi="宋体" w:eastAsia="宋体" w:cs="宋体"/>
          <w:b w:val="0"/>
          <w:bCs/>
          <w:snapToGrid w:val="0"/>
          <w:color w:val="auto"/>
          <w:kern w:val="10"/>
          <w:sz w:val="21"/>
          <w:szCs w:val="21"/>
          <w:highlight w:val="none"/>
          <w:lang w:val="en-US" w:eastAsia="zh-CN"/>
        </w:rPr>
        <w:t>本工程招标控制价为309.11万元</w:t>
      </w:r>
      <w:r>
        <w:rPr>
          <w:rFonts w:hint="eastAsia" w:ascii="宋体" w:hAnsi="宋体" w:cs="宋体"/>
          <w:color w:val="auto"/>
          <w:szCs w:val="21"/>
          <w:highlight w:val="none"/>
        </w:rPr>
        <w:t xml:space="preserve"> </w:t>
      </w:r>
      <w:permEnd w:id="3"/>
      <w:r>
        <w:rPr>
          <w:rFonts w:ascii="宋体" w:hAnsi="宋体" w:cs="宋体"/>
          <w:bCs/>
          <w:color w:val="auto"/>
          <w:szCs w:val="21"/>
          <w:highlight w:val="none"/>
        </w:rPr>
        <w:t xml:space="preserve">   </w:t>
      </w:r>
    </w:p>
    <w:p>
      <w:pPr>
        <w:snapToGrid w:val="0"/>
        <w:spacing w:line="500" w:lineRule="exact"/>
        <w:ind w:firstLine="420" w:firstLineChars="200"/>
        <w:rPr>
          <w:rFonts w:hint="eastAsia" w:ascii="宋体" w:hAnsi="宋体" w:cs="仿宋_GB2312"/>
          <w:color w:val="auto"/>
          <w:szCs w:val="21"/>
          <w:highlight w:val="none"/>
        </w:rPr>
      </w:pPr>
      <w:r>
        <w:rPr>
          <w:rFonts w:hint="eastAsia" w:ascii="宋体" w:hAnsi="宋体" w:cs="宋体"/>
          <w:color w:val="auto"/>
          <w:szCs w:val="21"/>
          <w:highlight w:val="none"/>
        </w:rPr>
        <w:t>4.招标控制价：</w:t>
      </w:r>
      <w:permStart w:id="4" w:edGrp="everyone"/>
      <w:r>
        <w:rPr>
          <w:rFonts w:hint="eastAsia" w:ascii="宋体" w:hAnsi="宋体" w:cs="仿宋_GB2312"/>
          <w:color w:val="auto"/>
          <w:szCs w:val="21"/>
          <w:highlight w:val="none"/>
        </w:rPr>
        <w:t>总价（含税）</w:t>
      </w:r>
      <w:r>
        <w:rPr>
          <w:rFonts w:hint="eastAsia" w:ascii="宋体" w:hAnsi="宋体" w:cs="宋体"/>
          <w:color w:val="auto"/>
          <w:szCs w:val="21"/>
          <w:highlight w:val="none"/>
          <w:lang w:val="en-US" w:eastAsia="zh-CN"/>
        </w:rPr>
        <w:t xml:space="preserve">  309.11   </w:t>
      </w:r>
      <w:r>
        <w:rPr>
          <w:rFonts w:hint="eastAsia" w:ascii="宋体" w:hAnsi="宋体" w:cs="宋体"/>
          <w:color w:val="auto"/>
          <w:szCs w:val="21"/>
          <w:highlight w:val="none"/>
        </w:rPr>
        <w:t>万元</w:t>
      </w:r>
      <w:r>
        <w:rPr>
          <w:rFonts w:hint="eastAsia" w:ascii="宋体" w:hAnsi="宋体" w:cs="仿宋_GB2312"/>
          <w:color w:val="auto"/>
          <w:szCs w:val="21"/>
          <w:highlight w:val="none"/>
        </w:rPr>
        <w:t>，总价（不含税）</w:t>
      </w:r>
      <w:r>
        <w:rPr>
          <w:rFonts w:hint="eastAsia" w:ascii="宋体" w:hAnsi="宋体" w:cs="仿宋_GB2312"/>
          <w:color w:val="auto"/>
          <w:szCs w:val="21"/>
          <w:highlight w:val="none"/>
          <w:lang w:val="en-US" w:eastAsia="zh-CN"/>
        </w:rPr>
        <w:t xml:space="preserve"> 291.61   </w:t>
      </w:r>
      <w:r>
        <w:rPr>
          <w:rFonts w:hint="eastAsia" w:ascii="宋体" w:hAnsi="宋体" w:cs="仿宋_GB2312"/>
          <w:color w:val="auto"/>
          <w:szCs w:val="21"/>
          <w:highlight w:val="none"/>
        </w:rPr>
        <w:t>万元，税率</w:t>
      </w:r>
      <w:r>
        <w:rPr>
          <w:rFonts w:hint="eastAsia" w:ascii="宋体" w:hAnsi="宋体" w:cs="仿宋_GB2312"/>
          <w:color w:val="auto"/>
          <w:szCs w:val="21"/>
          <w:highlight w:val="none"/>
          <w:lang w:val="en-US" w:eastAsia="zh-CN"/>
        </w:rPr>
        <w:t xml:space="preserve"> 6% </w:t>
      </w:r>
      <w:r>
        <w:rPr>
          <w:rFonts w:hint="eastAsia" w:ascii="宋体" w:hAnsi="宋体" w:cs="仿宋_GB2312"/>
          <w:color w:val="auto"/>
          <w:szCs w:val="21"/>
          <w:highlight w:val="none"/>
        </w:rPr>
        <w:t>，投标总价（不含税）不得超过</w:t>
      </w:r>
      <w:r>
        <w:rPr>
          <w:rFonts w:hint="eastAsia" w:ascii="宋体" w:hAnsi="宋体" w:cs="仿宋_GB2312"/>
          <w:color w:val="auto"/>
          <w:szCs w:val="21"/>
          <w:highlight w:val="none"/>
          <w:lang w:val="en-US" w:eastAsia="zh-CN"/>
        </w:rPr>
        <w:t xml:space="preserve"> 291.61  </w:t>
      </w:r>
      <w:r>
        <w:rPr>
          <w:rFonts w:hint="eastAsia" w:ascii="宋体" w:hAnsi="宋体" w:cs="仿宋_GB2312"/>
          <w:color w:val="auto"/>
          <w:szCs w:val="21"/>
          <w:highlight w:val="none"/>
        </w:rPr>
        <w:t>万元</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塔楼面积：25197.26</w:t>
      </w:r>
      <w:r>
        <w:rPr>
          <w:rFonts w:hint="eastAsia" w:ascii="宋体" w:hAnsi="宋体"/>
          <w:bCs/>
          <w:color w:val="auto"/>
          <w:sz w:val="21"/>
          <w:szCs w:val="21"/>
          <w:highlight w:val="none"/>
        </w:rPr>
        <w:t>㎡</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lang w:val="en-US" w:eastAsia="zh-CN"/>
        </w:rPr>
        <w:t>控制单价7.8</w:t>
      </w:r>
      <w:r>
        <w:rPr>
          <w:rFonts w:hint="eastAsia"/>
          <w:color w:val="auto"/>
          <w:sz w:val="21"/>
          <w:szCs w:val="21"/>
          <w:highlight w:val="none"/>
        </w:rPr>
        <w:t>元/</w:t>
      </w:r>
      <w:r>
        <w:rPr>
          <w:rFonts w:hint="eastAsia" w:ascii="宋体" w:hAnsi="宋体"/>
          <w:bCs/>
          <w:color w:val="auto"/>
          <w:sz w:val="21"/>
          <w:szCs w:val="21"/>
          <w:highlight w:val="none"/>
        </w:rPr>
        <w:t>㎡</w:t>
      </w:r>
      <w:r>
        <w:rPr>
          <w:rFonts w:hint="eastAsia"/>
          <w:color w:val="auto"/>
          <w:sz w:val="21"/>
          <w:szCs w:val="21"/>
          <w:highlight w:val="none"/>
        </w:rPr>
        <w:t>/月</w:t>
      </w:r>
      <w:r>
        <w:rPr>
          <w:rFonts w:hint="eastAsia"/>
          <w:color w:val="auto"/>
          <w:sz w:val="21"/>
          <w:szCs w:val="21"/>
          <w:highlight w:val="none"/>
          <w:lang w:eastAsia="zh-CN"/>
        </w:rPr>
        <w:t>；</w:t>
      </w:r>
      <w:r>
        <w:rPr>
          <w:rFonts w:hint="eastAsia"/>
          <w:color w:val="auto"/>
          <w:sz w:val="21"/>
          <w:szCs w:val="21"/>
          <w:highlight w:val="none"/>
          <w:lang w:val="en-US" w:eastAsia="zh-CN"/>
        </w:rPr>
        <w:t>商墅面积：6293.3</w:t>
      </w:r>
      <w:r>
        <w:rPr>
          <w:rFonts w:hint="eastAsia" w:ascii="宋体" w:hAnsi="宋体"/>
          <w:bCs/>
          <w:color w:val="auto"/>
          <w:sz w:val="21"/>
          <w:szCs w:val="21"/>
          <w:highlight w:val="none"/>
        </w:rPr>
        <w:t>㎡</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lang w:val="en-US" w:eastAsia="zh-CN"/>
        </w:rPr>
        <w:t>控制单价：</w:t>
      </w:r>
      <w:r>
        <w:rPr>
          <w:rFonts w:hint="eastAsia"/>
          <w:color w:val="auto"/>
          <w:sz w:val="21"/>
          <w:szCs w:val="21"/>
          <w:highlight w:val="none"/>
        </w:rPr>
        <w:t>7.2元/</w:t>
      </w:r>
      <w:r>
        <w:rPr>
          <w:rFonts w:hint="eastAsia" w:ascii="宋体" w:hAnsi="宋体"/>
          <w:bCs/>
          <w:color w:val="auto"/>
          <w:sz w:val="21"/>
          <w:szCs w:val="21"/>
          <w:highlight w:val="none"/>
        </w:rPr>
        <w:t>㎡</w:t>
      </w:r>
      <w:r>
        <w:rPr>
          <w:rFonts w:hint="eastAsia"/>
          <w:color w:val="auto"/>
          <w:sz w:val="21"/>
          <w:szCs w:val="21"/>
          <w:highlight w:val="none"/>
        </w:rPr>
        <w:t>/月</w:t>
      </w:r>
      <w:r>
        <w:rPr>
          <w:rFonts w:hint="eastAsia"/>
          <w:color w:val="auto"/>
          <w:sz w:val="21"/>
          <w:szCs w:val="21"/>
          <w:highlight w:val="none"/>
          <w:lang w:eastAsia="zh-CN"/>
        </w:rPr>
        <w:t>；</w:t>
      </w:r>
      <w:r>
        <w:rPr>
          <w:rFonts w:hint="eastAsia"/>
          <w:color w:val="auto"/>
          <w:sz w:val="21"/>
          <w:szCs w:val="21"/>
          <w:highlight w:val="none"/>
          <w:lang w:val="en-US" w:eastAsia="zh-CN"/>
        </w:rPr>
        <w:t>开办费按总建筑面积31490.56</w:t>
      </w:r>
      <w:r>
        <w:rPr>
          <w:rFonts w:hint="eastAsia" w:ascii="宋体" w:hAnsi="宋体"/>
          <w:bCs/>
          <w:color w:val="auto"/>
          <w:sz w:val="21"/>
          <w:szCs w:val="21"/>
          <w:highlight w:val="none"/>
        </w:rPr>
        <w:t>㎡</w:t>
      </w:r>
      <w:r>
        <w:rPr>
          <w:rFonts w:hint="eastAsia" w:ascii="宋体" w:hAnsi="宋体"/>
          <w:bCs/>
          <w:color w:val="auto"/>
          <w:sz w:val="21"/>
          <w:szCs w:val="21"/>
          <w:highlight w:val="none"/>
          <w:lang w:val="en-US" w:eastAsia="zh-CN"/>
        </w:rPr>
        <w:t>计算，控制单价：6元/</w:t>
      </w:r>
      <w:r>
        <w:rPr>
          <w:rFonts w:hint="eastAsia" w:ascii="宋体" w:hAnsi="宋体"/>
          <w:bCs/>
          <w:color w:val="auto"/>
          <w:sz w:val="21"/>
          <w:szCs w:val="21"/>
          <w:highlight w:val="none"/>
        </w:rPr>
        <w:t>㎡</w:t>
      </w:r>
      <w:r>
        <w:rPr>
          <w:rFonts w:hint="eastAsia" w:ascii="宋体" w:hAnsi="宋体" w:cs="仿宋_GB2312"/>
          <w:color w:val="auto"/>
          <w:szCs w:val="21"/>
          <w:highlight w:val="none"/>
        </w:rPr>
        <w:t>。</w:t>
      </w:r>
    </w:p>
    <w:permEnd w:id="4"/>
    <w:p>
      <w:pPr>
        <w:tabs>
          <w:tab w:val="left" w:pos="2310"/>
        </w:tabs>
        <w:spacing w:line="57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5.招标需求：</w:t>
      </w:r>
      <w:permStart w:id="5" w:edGrp="everyone"/>
      <w:r>
        <w:rPr>
          <w:rFonts w:hint="eastAsia" w:ascii="宋体" w:hAnsi="宋体" w:eastAsia="宋体" w:cs="宋体"/>
          <w:color w:val="auto"/>
          <w:sz w:val="21"/>
          <w:szCs w:val="21"/>
          <w:highlight w:val="none"/>
          <w:lang w:val="en-US" w:eastAsia="zh-CN"/>
        </w:rPr>
        <w:t>物业管理服务（包括秩序维护、环境卫生、停车场收费与管理、公共区域的零星维修、高配值班、设施设备维保、维修等物业相关管理服务）具体详见招标文件第三章</w:t>
      </w:r>
    </w:p>
    <w:permEnd w:id="5"/>
    <w:p>
      <w:pPr>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6.合同履行期限：</w:t>
      </w:r>
      <w:permStart w:id="6" w:edGrp="everyone"/>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本次采购服务期限</w:t>
      </w:r>
      <w:r>
        <w:rPr>
          <w:rFonts w:hint="eastAsia" w:ascii="宋体" w:hAnsi="宋体" w:cs="宋体"/>
          <w:color w:val="auto"/>
          <w:szCs w:val="21"/>
          <w:highlight w:val="none"/>
          <w:lang w:val="en-US" w:eastAsia="zh-CN"/>
        </w:rPr>
        <w:t>二年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2023年6月1日至2025年5月31日，具体起算时间以招标人与中标单位共同确认中标单位进场日起算，合同一年一签，期满经甲方考核合格后，可续签下一年合同。服务期限自确认中标单位进场起算，其中：</w:t>
      </w:r>
      <w:r>
        <w:rPr>
          <w:rFonts w:hint="eastAsia" w:ascii="宋体" w:hAnsi="宋体" w:cs="宋体"/>
          <w:color w:val="auto"/>
          <w:szCs w:val="21"/>
          <w:highlight w:val="none"/>
        </w:rPr>
        <w:t>前三个月为试用期，试用期满经考核合格且满足“服务标准及要求”后合同继续履行，试用期经考核不合格的或不满足采购要求的，采购人有权提前</w:t>
      </w:r>
      <w:r>
        <w:rPr>
          <w:rFonts w:hint="eastAsia" w:ascii="宋体" w:hAnsi="宋体" w:cs="宋体"/>
          <w:color w:val="auto"/>
          <w:szCs w:val="21"/>
          <w:highlight w:val="none"/>
          <w:lang w:val="en-US" w:eastAsia="zh-CN"/>
        </w:rPr>
        <w:t>单方</w:t>
      </w:r>
      <w:r>
        <w:rPr>
          <w:rFonts w:hint="eastAsia" w:ascii="宋体" w:hAnsi="宋体" w:cs="宋体"/>
          <w:color w:val="auto"/>
          <w:szCs w:val="21"/>
          <w:highlight w:val="none"/>
        </w:rPr>
        <w:t>解除本合同。采购人或中标单位</w:t>
      </w:r>
      <w:r>
        <w:rPr>
          <w:rFonts w:hint="eastAsia" w:ascii="宋体" w:hAnsi="宋体" w:cs="宋体"/>
          <w:color w:val="auto"/>
          <w:szCs w:val="21"/>
          <w:highlight w:val="none"/>
          <w:lang w:val="en-US" w:eastAsia="zh-CN"/>
        </w:rPr>
        <w:t>在第一年合同履行期满，</w:t>
      </w:r>
      <w:r>
        <w:rPr>
          <w:rFonts w:hint="eastAsia" w:ascii="宋体" w:hAnsi="宋体" w:cs="宋体"/>
          <w:color w:val="auto"/>
          <w:szCs w:val="21"/>
          <w:highlight w:val="none"/>
        </w:rPr>
        <w:t>不愿续签合同，均应提前两个月以书面形式通知对方并办理有关手续。</w:t>
      </w:r>
    </w:p>
    <w:p>
      <w:pPr>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本项目筹备期服务</w:t>
      </w:r>
      <w:r>
        <w:rPr>
          <w:rFonts w:hint="eastAsia" w:ascii="宋体" w:hAnsi="宋体" w:cs="宋体"/>
          <w:color w:val="auto"/>
          <w:szCs w:val="21"/>
          <w:highlight w:val="none"/>
          <w:lang w:val="en-US" w:eastAsia="zh-CN"/>
        </w:rPr>
        <w:t>具体进场时间以甲方书面通知为准，服务时间、相关服务人员工种及人员数量以甲方确认的实际发生人数为准</w:t>
      </w:r>
      <w:r>
        <w:rPr>
          <w:rFonts w:hint="eastAsia" w:ascii="宋体" w:hAnsi="宋体" w:cs="宋体"/>
          <w:color w:val="auto"/>
          <w:szCs w:val="21"/>
          <w:highlight w:val="none"/>
        </w:rPr>
        <w:t>。</w:t>
      </w:r>
    </w:p>
    <w:p>
      <w:pPr>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一年内乙方</w:t>
      </w:r>
      <w:r>
        <w:rPr>
          <w:rFonts w:hint="eastAsia" w:ascii="宋体" w:hAnsi="宋体" w:cs="宋体"/>
          <w:color w:val="auto"/>
          <w:szCs w:val="21"/>
          <w:highlight w:val="none"/>
          <w:lang w:val="en-US" w:eastAsia="zh-CN"/>
        </w:rPr>
        <w:t>季度</w:t>
      </w:r>
      <w:r>
        <w:rPr>
          <w:rFonts w:hint="eastAsia" w:ascii="宋体" w:hAnsi="宋体" w:cs="宋体"/>
          <w:color w:val="auto"/>
          <w:szCs w:val="21"/>
          <w:highlight w:val="none"/>
        </w:rPr>
        <w:t>考核成绩达2次（及以上）不合格或未按指定时间要求整改完成，视为全年考核不合格，甲方</w:t>
      </w:r>
      <w:r>
        <w:rPr>
          <w:rFonts w:hint="eastAsia" w:ascii="宋体" w:hAnsi="宋体" w:cs="宋体"/>
          <w:color w:val="auto"/>
          <w:szCs w:val="21"/>
          <w:highlight w:val="none"/>
          <w:lang w:val="en-US" w:eastAsia="zh-CN"/>
        </w:rPr>
        <w:t>有权单方</w:t>
      </w:r>
      <w:r>
        <w:rPr>
          <w:rFonts w:hint="eastAsia" w:ascii="宋体" w:hAnsi="宋体" w:cs="宋体"/>
          <w:color w:val="auto"/>
          <w:szCs w:val="21"/>
          <w:highlight w:val="none"/>
        </w:rPr>
        <w:t xml:space="preserve">解除该合同关系 ，不再与乙方续签下一年度物业管理委托合同。 </w:t>
      </w:r>
    </w:p>
    <w:permEnd w:id="6"/>
    <w:p>
      <w:pPr>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.本项目不接受联合体投标。</w:t>
      </w:r>
    </w:p>
    <w:p>
      <w:pPr>
        <w:snapToGrid w:val="0"/>
        <w:spacing w:line="50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二、申请人的资格要求 </w:t>
      </w:r>
    </w:p>
    <w:p>
      <w:pPr>
        <w:spacing w:line="500" w:lineRule="exact"/>
        <w:ind w:firstLine="420" w:firstLineChars="200"/>
        <w:rPr>
          <w:rFonts w:ascii="宋体" w:hAnsi="宋体" w:cs="宋体"/>
          <w:color w:val="auto"/>
          <w:szCs w:val="21"/>
          <w:highlight w:val="none"/>
        </w:rPr>
      </w:pPr>
      <w:permStart w:id="7" w:edGrp="everyone"/>
      <w:r>
        <w:rPr>
          <w:rFonts w:hint="eastAsia" w:ascii="宋体" w:hAnsi="宋体" w:cs="宋体"/>
          <w:color w:val="auto"/>
          <w:szCs w:val="21"/>
          <w:highlight w:val="none"/>
        </w:rPr>
        <w:t xml:space="preserve">1.在中华人民共和国境内注册，具有独立承担民事责任的能力； </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2.具有良好的商业信誉和健全的财务会计制度； </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3.具有履行合同所必需的设备和专业技术能力； </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4.有依法缴纳税收和社会保障资金的良好记录； </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5.参加招标活动前三年内，在经营活动中没有重大违法记录； </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6.法律、行政法规规定的其他条件；</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7.单位负责人为同一人或者存在直接控股、管理关系的不同投标人，不得参加同一合同项下的投标活动；</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8.未被“信用中国”网站（www.creditchina.gov.cn）列入失信被执行人、重大税收违法案件当事人名单、严重失信行为记录名单；</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b/>
          <w:bCs/>
          <w:color w:val="auto"/>
          <w:szCs w:val="21"/>
          <w:highlight w:val="none"/>
        </w:rPr>
        <w:t xml:space="preserve"> </w:t>
      </w:r>
      <w:permEnd w:id="7"/>
      <w:r>
        <w:rPr>
          <w:rFonts w:hint="eastAsia" w:ascii="宋体" w:hAnsi="宋体"/>
          <w:b/>
          <w:bCs/>
          <w:color w:val="auto"/>
          <w:szCs w:val="21"/>
          <w:highlight w:val="none"/>
        </w:rPr>
        <w:t>近3年内与高铁新城公司、常高新集团及旗下所控股子公司无诉讼关系；</w:t>
      </w:r>
    </w:p>
    <w:p>
      <w:pPr>
        <w:spacing w:line="500" w:lineRule="exact"/>
        <w:ind w:firstLine="420" w:firstLineChars="200"/>
        <w:rPr>
          <w:rFonts w:ascii="宋体" w:hAnsi="宋体" w:cs="宋体"/>
          <w:color w:val="auto"/>
          <w:szCs w:val="21"/>
          <w:highlight w:val="none"/>
        </w:rPr>
      </w:pPr>
      <w:permStart w:id="8" w:edGrp="everyone"/>
      <w:r>
        <w:rPr>
          <w:rFonts w:hint="eastAsia" w:ascii="宋体" w:hAnsi="宋体" w:cs="宋体"/>
          <w:color w:val="auto"/>
          <w:szCs w:val="21"/>
          <w:highlight w:val="none"/>
        </w:rPr>
        <w:t>...</w:t>
      </w:r>
    </w:p>
    <w:permEnd w:id="8"/>
    <w:p>
      <w:pPr>
        <w:spacing w:line="500" w:lineRule="exact"/>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三、获取</w:t>
      </w:r>
      <w:r>
        <w:rPr>
          <w:rFonts w:hint="eastAsia" w:ascii="宋体" w:hAnsi="宋体" w:cs="宋体"/>
          <w:b/>
          <w:color w:val="auto"/>
          <w:szCs w:val="21"/>
          <w:highlight w:val="none"/>
          <w:lang w:eastAsia="zh-CN"/>
        </w:rPr>
        <w:t>采购文件</w:t>
      </w:r>
    </w:p>
    <w:p>
      <w:pPr>
        <w:spacing w:line="500" w:lineRule="exact"/>
        <w:ind w:firstLine="420" w:firstLineChars="200"/>
        <w:rPr>
          <w:rFonts w:ascii="宋体" w:hAnsi="宋体" w:cs="宋体"/>
          <w:b/>
          <w:bCs/>
          <w:color w:val="auto"/>
          <w:szCs w:val="21"/>
          <w:highlight w:val="none"/>
        </w:rPr>
      </w:pPr>
      <w:r>
        <w:rPr>
          <w:rFonts w:hint="eastAsia" w:ascii="宋体" w:hAnsi="宋体" w:cs="宋体"/>
          <w:bCs/>
          <w:color w:val="auto"/>
          <w:szCs w:val="21"/>
          <w:highlight w:val="none"/>
        </w:rPr>
        <w:t>1.时间：</w:t>
      </w:r>
      <w:permStart w:id="9" w:edGrp="everyone"/>
      <w:r>
        <w:rPr>
          <w:rFonts w:hint="eastAsia" w:ascii="宋体" w:hAnsi="宋体" w:cs="宋体"/>
          <w:bCs/>
          <w:color w:val="auto"/>
          <w:szCs w:val="21"/>
          <w:highlight w:val="none"/>
        </w:rPr>
        <w:t>2023年</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 xml:space="preserve"> 月</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 xml:space="preserve">日至 </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 xml:space="preserve">月 </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 xml:space="preserve">  日，每天上午8:30至11:30，下午13:00至17:00 （北京时间，法定节假日除外）</w:t>
      </w:r>
      <w:permEnd w:id="9"/>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2.地点：</w:t>
      </w:r>
      <w:permStart w:id="10" w:edGrp="everyone"/>
      <w:r>
        <w:rPr>
          <w:rFonts w:hint="eastAsia" w:ascii="宋体" w:hAnsi="宋体" w:cs="宋体"/>
          <w:color w:val="auto"/>
          <w:szCs w:val="21"/>
          <w:highlight w:val="none"/>
        </w:rPr>
        <w:t xml:space="preserve"> 常州中瑞工程造价咨询有限公司（常州市新北区友邦商务大厦A座13楼）</w:t>
      </w:r>
      <w:permEnd w:id="10"/>
    </w:p>
    <w:p>
      <w:pPr>
        <w:shd w:val="clear" w:color="auto" w:fill="FFFFFF"/>
        <w:adjustRightInd w:val="0"/>
        <w:snapToGrid w:val="0"/>
        <w:spacing w:line="500" w:lineRule="exac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咨询电话：</w:t>
      </w:r>
      <w:permStart w:id="11" w:edGrp="everyone"/>
      <w:r>
        <w:rPr>
          <w:rFonts w:hint="eastAsia" w:ascii="宋体" w:hAnsi="宋体" w:cs="宋体"/>
          <w:bCs/>
          <w:color w:val="auto"/>
          <w:szCs w:val="21"/>
          <w:highlight w:val="none"/>
        </w:rPr>
        <w:t xml:space="preserve"> 0519-85606263</w:t>
      </w:r>
    </w:p>
    <w:permEnd w:id="11"/>
    <w:p>
      <w:pPr>
        <w:spacing w:line="500" w:lineRule="exact"/>
        <w:ind w:firstLine="420" w:firstLineChars="200"/>
        <w:rPr>
          <w:rFonts w:ascii="宋体" w:hAnsi="宋体" w:cs="宋体"/>
          <w:b/>
          <w:color w:val="auto"/>
          <w:kern w:val="0"/>
          <w:szCs w:val="21"/>
          <w:highlight w:val="none"/>
        </w:rPr>
      </w:pPr>
      <w:r>
        <w:rPr>
          <w:rFonts w:hint="eastAsia" w:ascii="宋体" w:hAnsi="宋体" w:cs="宋体"/>
          <w:color w:val="auto"/>
          <w:szCs w:val="21"/>
          <w:highlight w:val="none"/>
        </w:rPr>
        <w:t>4.售价：</w:t>
      </w:r>
      <w:permStart w:id="12" w:edGrp="everyone"/>
      <w:r>
        <w:rPr>
          <w:rFonts w:hint="eastAsia" w:ascii="宋体" w:hAnsi="宋体" w:cs="宋体"/>
          <w:color w:val="auto"/>
          <w:kern w:val="0"/>
          <w:szCs w:val="21"/>
          <w:highlight w:val="none"/>
        </w:rPr>
        <w:t>人民币 100元整</w:t>
      </w:r>
      <w:permEnd w:id="12"/>
    </w:p>
    <w:p>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四、提交投标文件截止时间、开标时间和地点</w:t>
      </w:r>
    </w:p>
    <w:p>
      <w:pPr>
        <w:spacing w:line="500" w:lineRule="exact"/>
        <w:ind w:firstLine="420" w:firstLineChars="200"/>
        <w:rPr>
          <w:rFonts w:ascii="宋体" w:hAnsi="宋体" w:cs="宋体"/>
          <w:color w:val="auto"/>
          <w:szCs w:val="21"/>
          <w:highlight w:val="none"/>
        </w:rPr>
      </w:pPr>
      <w:permStart w:id="13" w:edGrp="everyone"/>
      <w:r>
        <w:rPr>
          <w:rFonts w:hint="eastAsia" w:ascii="宋体" w:hAnsi="宋体" w:cs="宋体"/>
          <w:bCs/>
          <w:color w:val="auto"/>
          <w:kern w:val="0"/>
          <w:szCs w:val="21"/>
          <w:highlight w:val="none"/>
        </w:rPr>
        <w:t>202</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4</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 xml:space="preserve"> 日14 点00分（北京时间）</w:t>
      </w:r>
      <w:permEnd w:id="13"/>
    </w:p>
    <w:p>
      <w:pPr>
        <w:spacing w:line="500" w:lineRule="exact"/>
        <w:ind w:firstLine="420" w:firstLineChars="200"/>
        <w:rPr>
          <w:rFonts w:ascii="宋体" w:hAnsi="宋体" w:cs="宋体"/>
          <w:bCs/>
          <w:color w:val="auto"/>
          <w:szCs w:val="21"/>
          <w:highlight w:val="none"/>
        </w:rPr>
      </w:pPr>
      <w:permStart w:id="14" w:edGrp="everyone"/>
      <w:r>
        <w:rPr>
          <w:rFonts w:hint="eastAsia" w:ascii="宋体" w:hAnsi="宋体" w:cs="宋体"/>
          <w:color w:val="auto"/>
          <w:szCs w:val="21"/>
          <w:highlight w:val="none"/>
        </w:rPr>
        <w:t>地点：常州中瑞工程造价咨询有限公司（常州市新北区友邦商务大厦A座13楼）</w:t>
      </w:r>
      <w:permEnd w:id="14"/>
    </w:p>
    <w:p>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五、公告期限</w:t>
      </w:r>
    </w:p>
    <w:p>
      <w:pPr>
        <w:spacing w:line="500" w:lineRule="exact"/>
        <w:ind w:firstLine="420" w:firstLineChars="200"/>
        <w:rPr>
          <w:rFonts w:ascii="宋体" w:hAnsi="宋体" w:cs="宋体"/>
          <w:color w:val="auto"/>
          <w:szCs w:val="21"/>
          <w:highlight w:val="none"/>
        </w:rPr>
      </w:pPr>
      <w:permStart w:id="15" w:edGrp="everyone"/>
      <w:r>
        <w:rPr>
          <w:rFonts w:hint="eastAsia" w:ascii="宋体" w:hAnsi="宋体" w:cs="宋体"/>
          <w:color w:val="auto"/>
          <w:szCs w:val="21"/>
          <w:highlight w:val="none"/>
        </w:rPr>
        <w:t>自本公告发布之日起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个</w:t>
      </w:r>
      <w:r>
        <w:rPr>
          <w:rFonts w:hint="eastAsia" w:ascii="宋体" w:hAnsi="宋体" w:cs="宋体"/>
          <w:color w:val="auto"/>
          <w:szCs w:val="21"/>
          <w:highlight w:val="none"/>
          <w:lang w:val="en-US" w:eastAsia="zh-CN"/>
        </w:rPr>
        <w:t>工作日</w:t>
      </w:r>
      <w:r>
        <w:rPr>
          <w:rFonts w:hint="eastAsia" w:ascii="宋体" w:hAnsi="宋体" w:cs="宋体"/>
          <w:color w:val="auto"/>
          <w:szCs w:val="21"/>
          <w:highlight w:val="none"/>
        </w:rPr>
        <w:t>。</w:t>
      </w:r>
      <w:permEnd w:id="15"/>
    </w:p>
    <w:p>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六、其他补充事宜</w:t>
      </w:r>
    </w:p>
    <w:p>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1.现场踏勘及标前答疑</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olor w:val="auto"/>
          <w:szCs w:val="21"/>
          <w:highlight w:val="none"/>
        </w:rPr>
        <w:t>投标人应对</w:t>
      </w:r>
      <w:r>
        <w:rPr>
          <w:rFonts w:hint="eastAsia" w:ascii="宋体" w:hAnsi="宋体"/>
          <w:color w:val="auto"/>
          <w:szCs w:val="21"/>
          <w:highlight w:val="none"/>
          <w:lang w:val="en-US" w:eastAsia="zh-CN"/>
        </w:rPr>
        <w:t xml:space="preserve"> 物业 </w:t>
      </w:r>
      <w:r>
        <w:rPr>
          <w:rFonts w:hint="eastAsia" w:ascii="宋体" w:hAnsi="宋体"/>
          <w:color w:val="auto"/>
          <w:szCs w:val="21"/>
          <w:highlight w:val="none"/>
        </w:rPr>
        <w:t>现场和周围环境进行勘察，以获取编制报价文件和签署合同所需的所有资料。勘察现场所发生的费用由投标人承担。</w:t>
      </w:r>
    </w:p>
    <w:p>
      <w:pPr>
        <w:spacing w:line="5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标前答疑</w:t>
      </w:r>
    </w:p>
    <w:p>
      <w:pPr>
        <w:spacing w:line="500" w:lineRule="exact"/>
        <w:ind w:firstLine="420" w:firstLineChars="200"/>
        <w:rPr>
          <w:rFonts w:ascii="宋体" w:hAnsi="宋体" w:cs="宋体"/>
          <w:color w:val="auto"/>
          <w:szCs w:val="21"/>
          <w:highlight w:val="none"/>
        </w:rPr>
      </w:pPr>
      <w:permStart w:id="16" w:edGrp="everyone"/>
      <w:r>
        <w:rPr>
          <w:rFonts w:hint="eastAsia" w:ascii="宋体" w:hAnsi="宋体" w:cs="宋体"/>
          <w:color w:val="auto"/>
          <w:szCs w:val="21"/>
          <w:highlight w:val="none"/>
        </w:rPr>
        <w:t>投标人对</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如有疑问，请将疑问于</w:t>
      </w:r>
      <w:r>
        <w:rPr>
          <w:rFonts w:hint="eastAsia" w:ascii="宋体" w:hAnsi="宋体" w:cs="宋体"/>
          <w:color w:val="auto"/>
          <w:kern w:val="0"/>
          <w:szCs w:val="21"/>
          <w:highlight w:val="none"/>
        </w:rPr>
        <w:t>2023年</w:t>
      </w:r>
      <w:r>
        <w:rPr>
          <w:rFonts w:hint="eastAsia" w:ascii="宋体" w:hAnsi="宋体" w:cs="宋体"/>
          <w:color w:val="auto"/>
          <w:kern w:val="0"/>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xml:space="preserve"> 日17点00分（北京时间）前以书面形式提交至常州中瑞工程造价咨询有限公司。</w:t>
      </w:r>
      <w:permEnd w:id="16"/>
    </w:p>
    <w:p>
      <w:pPr>
        <w:numPr>
          <w:ilvl w:val="0"/>
          <w:numId w:val="1"/>
        </w:numPr>
        <w:spacing w:line="5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投标保证金（详见附件）</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投标保证金数额：</w:t>
      </w:r>
      <w:permStart w:id="17" w:edGrp="everyone"/>
      <w:r>
        <w:rPr>
          <w:rFonts w:hint="eastAsia" w:ascii="宋体" w:hAnsi="宋体" w:cs="宋体"/>
          <w:color w:val="auto"/>
          <w:szCs w:val="21"/>
          <w:highlight w:val="none"/>
        </w:rPr>
        <w:t>人民币</w:t>
      </w:r>
      <w:r>
        <w:rPr>
          <w:rFonts w:hint="eastAsia" w:ascii="宋体" w:hAnsi="宋体" w:cs="宋体"/>
          <w:color w:val="auto"/>
          <w:szCs w:val="21"/>
          <w:highlight w:val="none"/>
          <w:lang w:val="en-US" w:eastAsia="zh-CN"/>
        </w:rPr>
        <w:t>陆</w:t>
      </w:r>
      <w:r>
        <w:rPr>
          <w:rFonts w:hint="eastAsia" w:ascii="宋体" w:hAnsi="宋体" w:cs="宋体"/>
          <w:color w:val="auto"/>
          <w:szCs w:val="21"/>
          <w:highlight w:val="none"/>
        </w:rPr>
        <w:t>万元整</w:t>
      </w:r>
    </w:p>
    <w:permEnd w:id="17"/>
    <w:p>
      <w:pPr>
        <w:spacing w:line="5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投标保证金</w:t>
      </w:r>
      <w:r>
        <w:rPr>
          <w:rFonts w:hint="eastAsia" w:ascii="宋体" w:hAnsi="宋体" w:cs="宋体"/>
          <w:b/>
          <w:color w:val="auto"/>
          <w:szCs w:val="21"/>
          <w:highlight w:val="none"/>
        </w:rPr>
        <w:t>到账截止时间</w:t>
      </w:r>
      <w:r>
        <w:rPr>
          <w:rFonts w:hint="eastAsia" w:ascii="宋体" w:hAnsi="宋体" w:cs="宋体"/>
          <w:color w:val="auto"/>
          <w:szCs w:val="21"/>
          <w:highlight w:val="none"/>
        </w:rPr>
        <w:t>：</w:t>
      </w:r>
      <w:permStart w:id="18" w:edGrp="everyone"/>
      <w:r>
        <w:rPr>
          <w:rFonts w:hint="eastAsia" w:ascii="宋体" w:hAnsi="宋体" w:cs="宋体"/>
          <w:color w:val="auto"/>
          <w:szCs w:val="21"/>
          <w:highlight w:val="none"/>
        </w:rPr>
        <w:t xml:space="preserve">2023年 </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 月</w:t>
      </w:r>
      <w:r>
        <w:rPr>
          <w:rFonts w:hint="eastAsia" w:ascii="宋体" w:hAnsi="宋体" w:cs="宋体"/>
          <w:color w:val="auto"/>
          <w:szCs w:val="21"/>
          <w:highlight w:val="none"/>
          <w:lang w:val="en-US" w:eastAsia="zh-CN"/>
        </w:rPr>
        <w:t xml:space="preserve"> 18</w:t>
      </w:r>
      <w:r>
        <w:rPr>
          <w:rFonts w:hint="eastAsia" w:ascii="宋体" w:hAnsi="宋体" w:cs="宋体"/>
          <w:color w:val="auto"/>
          <w:szCs w:val="21"/>
          <w:highlight w:val="none"/>
        </w:rPr>
        <w:t>日17:00时</w:t>
      </w:r>
      <w:permEnd w:id="18"/>
    </w:p>
    <w:p>
      <w:pPr>
        <w:spacing w:line="500" w:lineRule="exact"/>
        <w:ind w:firstLine="422" w:firstLineChars="200"/>
        <w:rPr>
          <w:rFonts w:ascii="宋体" w:hAnsi="宋体" w:cs="宋体"/>
          <w:b/>
          <w:bCs/>
          <w:color w:val="auto"/>
          <w:szCs w:val="21"/>
          <w:highlight w:val="none"/>
        </w:rPr>
      </w:pPr>
      <w:r>
        <w:rPr>
          <w:rFonts w:hint="eastAsia" w:ascii="宋体" w:hAnsi="宋体" w:cs="宋体"/>
          <w:b/>
          <w:color w:val="auto"/>
          <w:szCs w:val="21"/>
          <w:highlight w:val="none"/>
        </w:rPr>
        <w:t>3.</w:t>
      </w:r>
      <w:r>
        <w:rPr>
          <w:rFonts w:hint="eastAsia" w:ascii="宋体" w:hAnsi="宋体" w:cs="宋体"/>
          <w:b/>
          <w:bCs/>
          <w:color w:val="auto"/>
          <w:szCs w:val="21"/>
          <w:highlight w:val="none"/>
          <w:lang w:eastAsia="zh-CN"/>
        </w:rPr>
        <w:t>采购文件</w:t>
      </w:r>
      <w:r>
        <w:rPr>
          <w:rFonts w:hint="eastAsia" w:ascii="宋体" w:hAnsi="宋体" w:cs="宋体"/>
          <w:b/>
          <w:bCs/>
          <w:color w:val="auto"/>
          <w:szCs w:val="21"/>
          <w:highlight w:val="none"/>
        </w:rPr>
        <w:t>售后不退。投标人提交的投标文件概不退还。一经领购，投标人不得更改单位名称。</w:t>
      </w:r>
    </w:p>
    <w:p>
      <w:pPr>
        <w:spacing w:line="5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4.公告发布媒体：</w:t>
      </w:r>
      <w:permStart w:id="19" w:edGrp="everyone"/>
      <w:r>
        <w:rPr>
          <w:rFonts w:hint="eastAsia" w:ascii="宋体" w:hAnsi="宋体" w:eastAsia="宋体"/>
          <w:color w:val="auto"/>
          <w:sz w:val="21"/>
          <w:szCs w:val="21"/>
          <w:highlight w:val="none"/>
          <w:lang w:val="en-US" w:eastAsia="zh-CN"/>
        </w:rPr>
        <w:t>常州国家高新区管委会网站</w:t>
      </w:r>
      <w:r>
        <w:rPr>
          <w:rFonts w:ascii="宋体" w:hAnsi="宋体" w:eastAsia="宋体"/>
          <w:color w:val="auto"/>
          <w:sz w:val="21"/>
          <w:szCs w:val="21"/>
          <w:highlight w:val="none"/>
        </w:rPr>
        <w:t>、</w:t>
      </w:r>
      <w:r>
        <w:rPr>
          <w:rFonts w:hint="eastAsia" w:ascii="宋体" w:hAnsi="宋体" w:eastAsia="宋体" w:cs="Times New Roman"/>
          <w:color w:val="auto"/>
          <w:sz w:val="21"/>
          <w:szCs w:val="21"/>
          <w:highlight w:val="none"/>
          <w:lang w:val="en-US" w:eastAsia="zh-CN"/>
        </w:rPr>
        <w:t>常高新集团官网、</w:t>
      </w:r>
      <w:r>
        <w:rPr>
          <w:rFonts w:hint="eastAsia" w:ascii="宋体" w:hAnsi="宋体" w:eastAsia="宋体" w:cs="宋体"/>
          <w:color w:val="auto"/>
          <w:sz w:val="21"/>
          <w:szCs w:val="21"/>
          <w:highlight w:val="none"/>
          <w:lang w:eastAsia="zh-CN"/>
        </w:rPr>
        <w:t>常州中瑞工程造价咨询有限公司</w:t>
      </w:r>
      <w:r>
        <w:rPr>
          <w:rFonts w:hint="eastAsia" w:ascii="宋体" w:hAnsi="宋体" w:eastAsia="宋体" w:cs="宋体"/>
          <w:color w:val="auto"/>
          <w:sz w:val="21"/>
          <w:szCs w:val="21"/>
          <w:highlight w:val="none"/>
          <w:lang w:val="en-US" w:eastAsia="zh-CN"/>
        </w:rPr>
        <w:t>网站</w:t>
      </w:r>
      <w:r>
        <w:rPr>
          <w:rFonts w:ascii="宋体" w:hAnsi="宋体" w:cs="宋体"/>
          <w:b/>
          <w:bCs/>
          <w:color w:val="auto"/>
          <w:szCs w:val="21"/>
          <w:highlight w:val="none"/>
        </w:rPr>
        <w:t xml:space="preserve"> </w:t>
      </w:r>
      <w:permEnd w:id="19"/>
    </w:p>
    <w:p>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七、</w:t>
      </w:r>
      <w:r>
        <w:rPr>
          <w:rFonts w:hint="eastAsia" w:ascii="宋体" w:hAnsi="宋体"/>
          <w:b/>
          <w:bCs/>
          <w:color w:val="auto"/>
          <w:szCs w:val="21"/>
          <w:highlight w:val="none"/>
        </w:rPr>
        <w:t>投标文件提交及开标信息</w:t>
      </w:r>
    </w:p>
    <w:p>
      <w:pPr>
        <w:snapToGrid w:val="0"/>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投标文件提交时间：</w:t>
      </w:r>
      <w:permStart w:id="20" w:edGrp="everyone"/>
      <w:r>
        <w:rPr>
          <w:rFonts w:hint="eastAsia" w:ascii="宋体" w:hAnsi="宋体"/>
          <w:color w:val="auto"/>
          <w:szCs w:val="21"/>
          <w:highlight w:val="none"/>
        </w:rPr>
        <w:t>2023年</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月 </w:t>
      </w:r>
      <w:r>
        <w:rPr>
          <w:rFonts w:hint="eastAsia" w:ascii="宋体" w:hAnsi="宋体"/>
          <w:color w:val="auto"/>
          <w:szCs w:val="21"/>
          <w:highlight w:val="none"/>
          <w:lang w:val="en-US" w:eastAsia="zh-CN"/>
        </w:rPr>
        <w:t>19</w:t>
      </w:r>
      <w:r>
        <w:rPr>
          <w:rFonts w:hint="eastAsia" w:ascii="宋体" w:hAnsi="宋体"/>
          <w:color w:val="auto"/>
          <w:szCs w:val="21"/>
          <w:highlight w:val="none"/>
        </w:rPr>
        <w:t>日</w:t>
      </w:r>
      <w:r>
        <w:rPr>
          <w:rFonts w:hint="eastAsia" w:ascii="宋体" w:hAnsi="宋体"/>
          <w:color w:val="auto"/>
          <w:szCs w:val="21"/>
          <w:highlight w:val="none"/>
          <w:lang w:val="en-US" w:eastAsia="zh-CN"/>
        </w:rPr>
        <w:t>14:00</w:t>
      </w:r>
      <w:r>
        <w:rPr>
          <w:rFonts w:hint="eastAsia" w:ascii="宋体" w:hAnsi="宋体"/>
          <w:color w:val="auto"/>
          <w:szCs w:val="21"/>
          <w:highlight w:val="none"/>
        </w:rPr>
        <w:t>（北京</w:t>
      </w:r>
      <w:r>
        <w:rPr>
          <w:rFonts w:ascii="宋体" w:hAnsi="宋体"/>
          <w:color w:val="auto"/>
          <w:szCs w:val="21"/>
          <w:highlight w:val="none"/>
        </w:rPr>
        <w:t>时间</w:t>
      </w:r>
      <w:r>
        <w:rPr>
          <w:rFonts w:hint="eastAsia" w:ascii="宋体" w:hAnsi="宋体"/>
          <w:color w:val="auto"/>
          <w:szCs w:val="21"/>
          <w:highlight w:val="none"/>
        </w:rPr>
        <w:t>）</w:t>
      </w:r>
      <w:permEnd w:id="20"/>
      <w:r>
        <w:rPr>
          <w:rFonts w:hint="eastAsia" w:ascii="宋体" w:hAnsi="宋体"/>
          <w:b/>
          <w:color w:val="auto"/>
          <w:szCs w:val="21"/>
          <w:highlight w:val="none"/>
        </w:rPr>
        <w:t>。</w:t>
      </w:r>
    </w:p>
    <w:p>
      <w:pPr>
        <w:snapToGrid w:val="0"/>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投标文件提交截止暨开标时间：</w:t>
      </w:r>
      <w:permStart w:id="21" w:edGrp="everyone"/>
      <w:r>
        <w:rPr>
          <w:rFonts w:hint="eastAsia" w:ascii="宋体" w:hAnsi="宋体"/>
          <w:color w:val="auto"/>
          <w:szCs w:val="21"/>
          <w:highlight w:val="none"/>
        </w:rPr>
        <w:t xml:space="preserve">2023年 </w:t>
      </w:r>
      <w:r>
        <w:rPr>
          <w:rFonts w:hint="eastAsia" w:ascii="宋体" w:hAnsi="宋体"/>
          <w:color w:val="auto"/>
          <w:szCs w:val="21"/>
          <w:highlight w:val="none"/>
          <w:lang w:val="en-US" w:eastAsia="zh-CN"/>
        </w:rPr>
        <w:t>4</w:t>
      </w:r>
      <w:r>
        <w:rPr>
          <w:rFonts w:hint="eastAsia" w:ascii="宋体" w:hAnsi="宋体"/>
          <w:color w:val="auto"/>
          <w:szCs w:val="21"/>
          <w:highlight w:val="none"/>
        </w:rPr>
        <w:t>月</w:t>
      </w:r>
      <w:r>
        <w:rPr>
          <w:rFonts w:hint="eastAsia" w:ascii="宋体" w:hAnsi="宋体"/>
          <w:color w:val="auto"/>
          <w:szCs w:val="21"/>
          <w:highlight w:val="none"/>
          <w:lang w:val="en-US" w:eastAsia="zh-CN"/>
        </w:rPr>
        <w:t>19</w:t>
      </w:r>
      <w:r>
        <w:rPr>
          <w:rFonts w:hint="eastAsia" w:ascii="宋体" w:hAnsi="宋体"/>
          <w:color w:val="auto"/>
          <w:szCs w:val="21"/>
          <w:highlight w:val="none"/>
        </w:rPr>
        <w:t xml:space="preserve">日 </w:t>
      </w:r>
      <w:r>
        <w:rPr>
          <w:rFonts w:hint="eastAsia" w:ascii="宋体" w:hAnsi="宋体"/>
          <w:color w:val="auto"/>
          <w:szCs w:val="21"/>
          <w:highlight w:val="none"/>
          <w:lang w:val="en-US" w:eastAsia="zh-CN"/>
        </w:rPr>
        <w:t>14:00</w:t>
      </w:r>
      <w:r>
        <w:rPr>
          <w:rFonts w:hint="eastAsia" w:ascii="宋体" w:hAnsi="宋体"/>
          <w:color w:val="auto"/>
          <w:szCs w:val="21"/>
          <w:highlight w:val="none"/>
        </w:rPr>
        <w:t>（北京</w:t>
      </w:r>
      <w:r>
        <w:rPr>
          <w:rFonts w:ascii="宋体" w:hAnsi="宋体"/>
          <w:color w:val="auto"/>
          <w:szCs w:val="21"/>
          <w:highlight w:val="none"/>
        </w:rPr>
        <w:t>时间</w:t>
      </w:r>
      <w:r>
        <w:rPr>
          <w:rFonts w:hint="eastAsia" w:ascii="宋体" w:hAnsi="宋体"/>
          <w:color w:val="auto"/>
          <w:szCs w:val="21"/>
          <w:highlight w:val="none"/>
        </w:rPr>
        <w:t>）</w:t>
      </w:r>
      <w:permEnd w:id="21"/>
      <w:r>
        <w:rPr>
          <w:rFonts w:hint="eastAsia" w:ascii="宋体" w:hAnsi="宋体"/>
          <w:b/>
          <w:color w:val="auto"/>
          <w:szCs w:val="21"/>
          <w:highlight w:val="none"/>
        </w:rPr>
        <w:t>。</w:t>
      </w:r>
    </w:p>
    <w:p>
      <w:pPr>
        <w:spacing w:line="500" w:lineRule="exact"/>
        <w:rPr>
          <w:rFonts w:ascii="宋体" w:hAnsi="宋体" w:cs="宋体"/>
          <w:color w:val="auto"/>
          <w:szCs w:val="21"/>
          <w:highlight w:val="none"/>
        </w:rPr>
      </w:pPr>
      <w:r>
        <w:rPr>
          <w:rFonts w:hint="eastAsia" w:ascii="宋体" w:hAnsi="宋体" w:cs="宋体"/>
          <w:b/>
          <w:color w:val="auto"/>
          <w:szCs w:val="21"/>
          <w:highlight w:val="none"/>
        </w:rPr>
        <w:t xml:space="preserve">    投标文件递交地点暨开标地点：</w:t>
      </w:r>
      <w:permStart w:id="22" w:edGrp="everyone"/>
      <w:r>
        <w:rPr>
          <w:rFonts w:hint="eastAsia" w:ascii="宋体" w:hAnsi="宋体" w:cs="宋体"/>
          <w:color w:val="auto"/>
          <w:szCs w:val="21"/>
          <w:highlight w:val="none"/>
        </w:rPr>
        <w:t xml:space="preserve"> 常州中瑞工程造价咨询有限公司（常州市新北区友邦商务大厦A座13楼）</w:t>
      </w:r>
      <w:permEnd w:id="22"/>
    </w:p>
    <w:p>
      <w:pPr>
        <w:spacing w:line="500" w:lineRule="exact"/>
        <w:rPr>
          <w:rFonts w:ascii="宋体" w:hAnsi="宋体" w:cs="宋体"/>
          <w:b/>
          <w:color w:val="auto"/>
          <w:kern w:val="0"/>
          <w:szCs w:val="21"/>
          <w:highlight w:val="none"/>
        </w:rPr>
      </w:pPr>
      <w:r>
        <w:rPr>
          <w:rFonts w:hint="eastAsia" w:ascii="宋体" w:hAnsi="宋体" w:cs="宋体"/>
          <w:color w:val="auto"/>
          <w:szCs w:val="21"/>
          <w:highlight w:val="none"/>
        </w:rPr>
        <w:t xml:space="preserve">    </w:t>
      </w:r>
      <w:r>
        <w:rPr>
          <w:rFonts w:hint="eastAsia" w:ascii="宋体" w:hAnsi="宋体" w:cs="宋体"/>
          <w:b/>
          <w:color w:val="auto"/>
          <w:kern w:val="0"/>
          <w:szCs w:val="21"/>
          <w:highlight w:val="none"/>
        </w:rPr>
        <w:t>八、说明</w:t>
      </w:r>
    </w:p>
    <w:p>
      <w:pPr>
        <w:spacing w:line="5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eastAsia="zh-CN"/>
        </w:rPr>
        <w:t>采购文件</w:t>
      </w:r>
      <w:r>
        <w:rPr>
          <w:rFonts w:hint="eastAsia" w:ascii="宋体" w:hAnsi="宋体" w:cs="宋体"/>
          <w:b/>
          <w:bCs/>
          <w:color w:val="auto"/>
          <w:szCs w:val="21"/>
          <w:highlight w:val="none"/>
        </w:rPr>
        <w:t>售后一概不退。投标人递交的投标文件概不退还。一经报名，投标人不得更改单位名称。</w:t>
      </w:r>
    </w:p>
    <w:p>
      <w:pPr>
        <w:spacing w:line="50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九、联系方式</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信息</w:t>
      </w:r>
    </w:p>
    <w:p>
      <w:pPr>
        <w:snapToGrid w:val="0"/>
        <w:spacing w:line="5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permStart w:id="23" w:edGrp="everyone"/>
      <w:r>
        <w:rPr>
          <w:rFonts w:ascii="宋体" w:hAnsi="宋体" w:cs="宋体"/>
          <w:color w:val="auto"/>
          <w:szCs w:val="21"/>
          <w:highlight w:val="none"/>
        </w:rPr>
        <w:t xml:space="preserve"> </w:t>
      </w:r>
      <w:r>
        <w:rPr>
          <w:rFonts w:hint="eastAsia" w:ascii="宋体" w:hAnsi="宋体" w:cs="宋体"/>
          <w:color w:val="auto"/>
          <w:szCs w:val="21"/>
          <w:highlight w:val="none"/>
          <w:lang w:eastAsia="zh-CN"/>
        </w:rPr>
        <w:t>常州坤方建设发展有限公司</w:t>
      </w:r>
    </w:p>
    <w:permEnd w:id="23"/>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w:t>
      </w:r>
      <w:permStart w:id="24" w:edGrp="everyone"/>
      <w:r>
        <w:rPr>
          <w:rFonts w:ascii="宋体" w:hAnsi="宋体" w:cs="宋体"/>
          <w:color w:val="auto"/>
          <w:szCs w:val="21"/>
          <w:highlight w:val="none"/>
        </w:rPr>
        <w:t xml:space="preserve"> </w:t>
      </w:r>
      <w:r>
        <w:rPr>
          <w:rFonts w:hint="eastAsia" w:ascii="宋体" w:hAnsi="宋体" w:cs="宋体"/>
          <w:color w:val="auto"/>
          <w:szCs w:val="21"/>
          <w:highlight w:val="none"/>
        </w:rPr>
        <w:t>常州市新北区新桥街道新龙湖公园崇义路5号E栋</w:t>
      </w:r>
    </w:p>
    <w:permEnd w:id="24"/>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联系方式：</w:t>
      </w:r>
      <w:permStart w:id="25" w:edGrp="everyone"/>
      <w:r>
        <w:rPr>
          <w:rFonts w:hint="eastAsia" w:ascii="宋体" w:hAnsi="宋体" w:cs="宋体"/>
          <w:color w:val="auto"/>
          <w:szCs w:val="21"/>
          <w:highlight w:val="none"/>
        </w:rPr>
        <w:t xml:space="preserve"> 0519-81</w:t>
      </w:r>
      <w:r>
        <w:rPr>
          <w:rFonts w:hint="eastAsia" w:ascii="宋体" w:hAnsi="宋体" w:cs="宋体"/>
          <w:color w:val="auto"/>
          <w:szCs w:val="21"/>
          <w:highlight w:val="none"/>
          <w:lang w:eastAsia="zh-CN"/>
        </w:rPr>
        <w:t>5</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2135</w:t>
      </w:r>
    </w:p>
    <w:permEnd w:id="25"/>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投诉电话： 0519-85113061 </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2.招标代理机构信息</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permStart w:id="26" w:edGrp="everyone"/>
      <w:r>
        <w:rPr>
          <w:rFonts w:ascii="宋体" w:hAnsi="宋体" w:cs="宋体"/>
          <w:color w:val="auto"/>
          <w:szCs w:val="21"/>
          <w:highlight w:val="none"/>
        </w:rPr>
        <w:t xml:space="preserve"> </w:t>
      </w:r>
      <w:r>
        <w:rPr>
          <w:rFonts w:hint="eastAsia" w:ascii="宋体" w:hAnsi="宋体"/>
          <w:color w:val="auto"/>
          <w:szCs w:val="21"/>
          <w:highlight w:val="none"/>
        </w:rPr>
        <w:t>常州中瑞工程造价咨询有限公司</w:t>
      </w:r>
    </w:p>
    <w:permEnd w:id="26"/>
    <w:p>
      <w:pPr>
        <w:spacing w:line="50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地　　址：</w:t>
      </w:r>
      <w:permStart w:id="27" w:edGrp="everyone"/>
      <w:r>
        <w:rPr>
          <w:rFonts w:ascii="宋体" w:hAnsi="宋体" w:cs="宋体"/>
          <w:color w:val="auto"/>
          <w:kern w:val="0"/>
          <w:szCs w:val="21"/>
          <w:highlight w:val="none"/>
        </w:rPr>
        <w:t xml:space="preserve"> </w:t>
      </w:r>
      <w:r>
        <w:rPr>
          <w:rFonts w:hint="eastAsia" w:ascii="宋体" w:hAnsi="宋体" w:cs="宋体"/>
          <w:color w:val="auto"/>
          <w:szCs w:val="21"/>
          <w:highlight w:val="none"/>
        </w:rPr>
        <w:t>常州市新北区友邦商务大厦A座13楼</w:t>
      </w:r>
    </w:p>
    <w:permEnd w:id="27"/>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联系方式：</w:t>
      </w:r>
      <w:permStart w:id="28" w:edGrp="everyone"/>
      <w:r>
        <w:rPr>
          <w:rFonts w:hint="eastAsia" w:ascii="宋体" w:hAnsi="宋体"/>
          <w:color w:val="auto"/>
          <w:szCs w:val="21"/>
          <w:highlight w:val="none"/>
        </w:rPr>
        <w:t>孙端阳  联系电话：</w:t>
      </w:r>
      <w:r>
        <w:rPr>
          <w:rFonts w:hint="eastAsia" w:ascii="宋体" w:hAnsi="宋体" w:cs="宋体"/>
          <w:color w:val="auto"/>
          <w:szCs w:val="21"/>
          <w:highlight w:val="none"/>
        </w:rPr>
        <w:t>0519-85606263</w:t>
      </w:r>
    </w:p>
    <w:p>
      <w:r>
        <w:br w:type="page"/>
      </w:r>
    </w:p>
    <w:p>
      <w:pPr>
        <w:spacing w:line="360" w:lineRule="auto"/>
        <w:rPr>
          <w:rFonts w:hint="eastAsia" w:ascii="宋体" w:hAnsi="宋体"/>
          <w:b/>
          <w:bCs/>
          <w:sz w:val="32"/>
          <w:szCs w:val="32"/>
        </w:rPr>
      </w:pPr>
      <w:r>
        <w:rPr>
          <w:rFonts w:hint="eastAsia" w:ascii="宋体" w:hAnsi="宋体"/>
          <w:b/>
          <w:bCs/>
          <w:szCs w:val="21"/>
        </w:rPr>
        <w:t>附件1：</w:t>
      </w:r>
    </w:p>
    <w:p>
      <w:pPr>
        <w:autoSpaceDE w:val="0"/>
        <w:autoSpaceDN w:val="0"/>
        <w:spacing w:line="360" w:lineRule="auto"/>
        <w:jc w:val="center"/>
        <w:rPr>
          <w:rFonts w:hint="eastAsia" w:ascii="宋体" w:hAnsi="宋体" w:cs="宋体"/>
          <w:b/>
          <w:kern w:val="0"/>
          <w:sz w:val="32"/>
          <w:szCs w:val="32"/>
        </w:rPr>
      </w:pPr>
      <w:r>
        <w:rPr>
          <w:rFonts w:hint="eastAsia" w:ascii="宋体" w:hAnsi="宋体" w:cs="宋体"/>
          <w:b/>
          <w:kern w:val="0"/>
          <w:sz w:val="32"/>
          <w:szCs w:val="32"/>
        </w:rPr>
        <w:t>零星工程投标报名表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35"/>
        <w:gridCol w:w="5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jc w:val="center"/>
        </w:trPr>
        <w:tc>
          <w:tcPr>
            <w:tcW w:w="2635" w:type="dxa"/>
            <w:noWrap w:val="0"/>
            <w:vAlign w:val="center"/>
          </w:tcPr>
          <w:p>
            <w:pPr>
              <w:autoSpaceDE w:val="0"/>
              <w:autoSpaceDN w:val="0"/>
              <w:spacing w:line="360" w:lineRule="auto"/>
              <w:jc w:val="center"/>
              <w:rPr>
                <w:rFonts w:hint="eastAsia" w:ascii="宋体" w:hAnsi="宋体" w:cs="宋体"/>
                <w:kern w:val="0"/>
                <w:szCs w:val="21"/>
              </w:rPr>
            </w:pPr>
            <w:r>
              <w:rPr>
                <w:rFonts w:hint="eastAsia" w:ascii="宋体" w:hAnsi="宋体" w:cs="宋体"/>
                <w:kern w:val="0"/>
                <w:szCs w:val="21"/>
              </w:rPr>
              <w:t>招标单位</w:t>
            </w:r>
          </w:p>
        </w:tc>
        <w:tc>
          <w:tcPr>
            <w:tcW w:w="5990" w:type="dxa"/>
            <w:noWrap w:val="0"/>
            <w:vAlign w:val="center"/>
          </w:tcPr>
          <w:p>
            <w:pPr>
              <w:autoSpaceDE w:val="0"/>
              <w:autoSpaceDN w:val="0"/>
              <w:spacing w:line="360" w:lineRule="auto"/>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2635" w:type="dxa"/>
            <w:noWrap w:val="0"/>
            <w:vAlign w:val="center"/>
          </w:tcPr>
          <w:p>
            <w:pPr>
              <w:autoSpaceDE w:val="0"/>
              <w:autoSpaceDN w:val="0"/>
              <w:spacing w:line="360" w:lineRule="auto"/>
              <w:jc w:val="center"/>
              <w:rPr>
                <w:rFonts w:hint="eastAsia" w:ascii="宋体" w:hAnsi="宋体" w:cs="宋体"/>
                <w:kern w:val="0"/>
                <w:szCs w:val="21"/>
              </w:rPr>
            </w:pPr>
            <w:r>
              <w:rPr>
                <w:rFonts w:hint="eastAsia" w:ascii="宋体" w:hAnsi="宋体" w:cs="宋体"/>
                <w:kern w:val="0"/>
                <w:szCs w:val="21"/>
              </w:rPr>
              <w:t>项目名称</w:t>
            </w:r>
          </w:p>
        </w:tc>
        <w:tc>
          <w:tcPr>
            <w:tcW w:w="5990" w:type="dxa"/>
            <w:noWrap w:val="0"/>
            <w:vAlign w:val="center"/>
          </w:tcPr>
          <w:p>
            <w:pPr>
              <w:autoSpaceDE w:val="0"/>
              <w:autoSpaceDN w:val="0"/>
              <w:spacing w:line="360" w:lineRule="auto"/>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2635" w:type="dxa"/>
            <w:noWrap w:val="0"/>
            <w:vAlign w:val="center"/>
          </w:tcPr>
          <w:p>
            <w:pPr>
              <w:autoSpaceDE w:val="0"/>
              <w:autoSpaceDN w:val="0"/>
              <w:spacing w:line="360" w:lineRule="auto"/>
              <w:jc w:val="center"/>
              <w:rPr>
                <w:rFonts w:hint="eastAsia" w:ascii="宋体" w:hAnsi="宋体" w:cs="宋体"/>
                <w:kern w:val="0"/>
                <w:szCs w:val="21"/>
              </w:rPr>
            </w:pPr>
            <w:r>
              <w:rPr>
                <w:rFonts w:hint="eastAsia" w:ascii="宋体" w:hAnsi="宋体" w:cs="宋体"/>
                <w:kern w:val="0"/>
                <w:szCs w:val="21"/>
              </w:rPr>
              <w:t>项目地址</w:t>
            </w:r>
          </w:p>
        </w:tc>
        <w:tc>
          <w:tcPr>
            <w:tcW w:w="5990" w:type="dxa"/>
            <w:noWrap w:val="0"/>
            <w:vAlign w:val="center"/>
          </w:tcPr>
          <w:p>
            <w:pPr>
              <w:autoSpaceDE w:val="0"/>
              <w:autoSpaceDN w:val="0"/>
              <w:spacing w:line="360" w:lineRule="auto"/>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8625" w:type="dxa"/>
            <w:gridSpan w:val="2"/>
            <w:noWrap w:val="0"/>
            <w:vAlign w:val="center"/>
          </w:tcPr>
          <w:p>
            <w:pPr>
              <w:autoSpaceDE w:val="0"/>
              <w:autoSpaceDN w:val="0"/>
              <w:spacing w:line="360" w:lineRule="auto"/>
              <w:jc w:val="center"/>
              <w:rPr>
                <w:rFonts w:hint="eastAsia" w:ascii="宋体" w:hAnsi="宋体" w:cs="宋体"/>
                <w:kern w:val="0"/>
                <w:szCs w:val="21"/>
              </w:rPr>
            </w:pPr>
            <w:r>
              <w:rPr>
                <w:rFonts w:hint="eastAsia" w:ascii="宋体" w:hAnsi="宋体" w:cs="宋体"/>
                <w:kern w:val="0"/>
                <w:szCs w:val="21"/>
              </w:rPr>
              <w:t>投标单位报名情况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2635" w:type="dxa"/>
            <w:noWrap w:val="0"/>
            <w:vAlign w:val="center"/>
          </w:tcPr>
          <w:p>
            <w:pPr>
              <w:autoSpaceDE w:val="0"/>
              <w:autoSpaceDN w:val="0"/>
              <w:spacing w:line="360" w:lineRule="auto"/>
              <w:jc w:val="center"/>
              <w:rPr>
                <w:rFonts w:hint="eastAsia" w:ascii="宋体" w:hAnsi="宋体" w:cs="宋体"/>
                <w:kern w:val="0"/>
                <w:szCs w:val="21"/>
              </w:rPr>
            </w:pPr>
            <w:r>
              <w:rPr>
                <w:rFonts w:hint="eastAsia" w:ascii="宋体" w:hAnsi="宋体" w:cs="宋体"/>
                <w:kern w:val="0"/>
                <w:szCs w:val="21"/>
              </w:rPr>
              <w:t>投标单位（盖章）</w:t>
            </w:r>
          </w:p>
        </w:tc>
        <w:tc>
          <w:tcPr>
            <w:tcW w:w="5990" w:type="dxa"/>
            <w:noWrap w:val="0"/>
            <w:vAlign w:val="center"/>
          </w:tcPr>
          <w:p>
            <w:pPr>
              <w:autoSpaceDE w:val="0"/>
              <w:autoSpaceDN w:val="0"/>
              <w:spacing w:line="360" w:lineRule="auto"/>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2635" w:type="dxa"/>
            <w:noWrap w:val="0"/>
            <w:vAlign w:val="center"/>
          </w:tcPr>
          <w:p>
            <w:pPr>
              <w:autoSpaceDE w:val="0"/>
              <w:autoSpaceDN w:val="0"/>
              <w:spacing w:line="360" w:lineRule="auto"/>
              <w:jc w:val="center"/>
              <w:rPr>
                <w:rFonts w:hint="eastAsia" w:ascii="宋体" w:hAnsi="宋体" w:cs="宋体"/>
                <w:kern w:val="0"/>
                <w:szCs w:val="21"/>
              </w:rPr>
            </w:pPr>
            <w:r>
              <w:rPr>
                <w:rFonts w:hint="eastAsia" w:ascii="宋体" w:hAnsi="宋体" w:cs="宋体"/>
                <w:kern w:val="0"/>
                <w:szCs w:val="21"/>
              </w:rPr>
              <w:t>资质等级</w:t>
            </w:r>
          </w:p>
        </w:tc>
        <w:tc>
          <w:tcPr>
            <w:tcW w:w="5990" w:type="dxa"/>
            <w:noWrap w:val="0"/>
            <w:vAlign w:val="center"/>
          </w:tcPr>
          <w:p>
            <w:pPr>
              <w:autoSpaceDE w:val="0"/>
              <w:autoSpaceDN w:val="0"/>
              <w:spacing w:line="360" w:lineRule="auto"/>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2635" w:type="dxa"/>
            <w:noWrap w:val="0"/>
            <w:vAlign w:val="center"/>
          </w:tcPr>
          <w:p>
            <w:pPr>
              <w:autoSpaceDE w:val="0"/>
              <w:autoSpaceDN w:val="0"/>
              <w:spacing w:line="360" w:lineRule="auto"/>
              <w:jc w:val="center"/>
              <w:rPr>
                <w:rFonts w:hint="eastAsia" w:ascii="宋体" w:hAnsi="宋体" w:cs="宋体"/>
                <w:kern w:val="0"/>
                <w:szCs w:val="21"/>
              </w:rPr>
            </w:pPr>
            <w:r>
              <w:rPr>
                <w:rFonts w:hint="eastAsia" w:ascii="宋体" w:hAnsi="宋体" w:cs="宋体"/>
                <w:kern w:val="0"/>
                <w:szCs w:val="21"/>
              </w:rPr>
              <w:t>法定代表人</w:t>
            </w:r>
          </w:p>
          <w:p>
            <w:pPr>
              <w:autoSpaceDE w:val="0"/>
              <w:autoSpaceDN w:val="0"/>
              <w:spacing w:line="360" w:lineRule="auto"/>
              <w:jc w:val="center"/>
              <w:rPr>
                <w:rFonts w:hint="eastAsia" w:ascii="宋体" w:hAnsi="宋体" w:cs="宋体"/>
                <w:kern w:val="0"/>
                <w:szCs w:val="21"/>
              </w:rPr>
            </w:pPr>
            <w:r>
              <w:rPr>
                <w:rFonts w:hint="eastAsia" w:ascii="宋体" w:hAnsi="宋体" w:cs="宋体"/>
                <w:kern w:val="0"/>
                <w:szCs w:val="21"/>
              </w:rPr>
              <w:t>（签字或盖章）</w:t>
            </w:r>
          </w:p>
        </w:tc>
        <w:tc>
          <w:tcPr>
            <w:tcW w:w="5990" w:type="dxa"/>
            <w:noWrap w:val="0"/>
            <w:vAlign w:val="center"/>
          </w:tcPr>
          <w:p>
            <w:pPr>
              <w:autoSpaceDE w:val="0"/>
              <w:autoSpaceDN w:val="0"/>
              <w:spacing w:line="360" w:lineRule="auto"/>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2635" w:type="dxa"/>
            <w:noWrap w:val="0"/>
            <w:vAlign w:val="center"/>
          </w:tcPr>
          <w:p>
            <w:pPr>
              <w:autoSpaceDE w:val="0"/>
              <w:autoSpaceDN w:val="0"/>
              <w:spacing w:line="360" w:lineRule="auto"/>
              <w:jc w:val="center"/>
              <w:rPr>
                <w:rFonts w:hint="eastAsia" w:ascii="宋体" w:hAnsi="宋体" w:cs="宋体"/>
                <w:kern w:val="0"/>
                <w:szCs w:val="21"/>
              </w:rPr>
            </w:pPr>
            <w:r>
              <w:rPr>
                <w:rFonts w:hint="eastAsia" w:ascii="宋体" w:hAnsi="宋体" w:cs="宋体"/>
                <w:kern w:val="0"/>
                <w:szCs w:val="21"/>
              </w:rPr>
              <w:t>项目经理</w:t>
            </w:r>
          </w:p>
        </w:tc>
        <w:tc>
          <w:tcPr>
            <w:tcW w:w="5990" w:type="dxa"/>
            <w:noWrap w:val="0"/>
            <w:vAlign w:val="center"/>
          </w:tcPr>
          <w:p>
            <w:pPr>
              <w:autoSpaceDE w:val="0"/>
              <w:autoSpaceDN w:val="0"/>
              <w:spacing w:line="360" w:lineRule="auto"/>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2635" w:type="dxa"/>
            <w:noWrap w:val="0"/>
            <w:vAlign w:val="center"/>
          </w:tcPr>
          <w:p>
            <w:pPr>
              <w:autoSpaceDE w:val="0"/>
              <w:autoSpaceDN w:val="0"/>
              <w:spacing w:line="360" w:lineRule="auto"/>
              <w:jc w:val="center"/>
              <w:rPr>
                <w:rFonts w:hint="eastAsia" w:ascii="宋体" w:hAnsi="宋体" w:cs="宋体"/>
                <w:kern w:val="0"/>
                <w:szCs w:val="21"/>
              </w:rPr>
            </w:pPr>
            <w:r>
              <w:rPr>
                <w:rFonts w:hint="eastAsia" w:ascii="宋体" w:hAnsi="宋体" w:cs="宋体"/>
                <w:kern w:val="0"/>
                <w:szCs w:val="21"/>
              </w:rPr>
              <w:t>授权委托人</w:t>
            </w:r>
          </w:p>
        </w:tc>
        <w:tc>
          <w:tcPr>
            <w:tcW w:w="5990" w:type="dxa"/>
            <w:noWrap w:val="0"/>
            <w:vAlign w:val="center"/>
          </w:tcPr>
          <w:p>
            <w:pPr>
              <w:autoSpaceDE w:val="0"/>
              <w:autoSpaceDN w:val="0"/>
              <w:spacing w:line="360" w:lineRule="auto"/>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2635" w:type="dxa"/>
            <w:noWrap w:val="0"/>
            <w:vAlign w:val="center"/>
          </w:tcPr>
          <w:p>
            <w:pPr>
              <w:autoSpaceDE w:val="0"/>
              <w:autoSpaceDN w:val="0"/>
              <w:spacing w:line="360" w:lineRule="auto"/>
              <w:jc w:val="center"/>
              <w:rPr>
                <w:rFonts w:hint="eastAsia" w:ascii="宋体" w:hAnsi="宋体" w:cs="宋体"/>
                <w:kern w:val="0"/>
                <w:szCs w:val="21"/>
              </w:rPr>
            </w:pPr>
            <w:r>
              <w:rPr>
                <w:rFonts w:hint="eastAsia" w:ascii="宋体" w:hAnsi="宋体" w:cs="宋体"/>
                <w:kern w:val="0"/>
                <w:szCs w:val="21"/>
              </w:rPr>
              <w:t>联系电话</w:t>
            </w:r>
          </w:p>
        </w:tc>
        <w:tc>
          <w:tcPr>
            <w:tcW w:w="5990" w:type="dxa"/>
            <w:noWrap w:val="0"/>
            <w:vAlign w:val="center"/>
          </w:tcPr>
          <w:p>
            <w:pPr>
              <w:autoSpaceDE w:val="0"/>
              <w:autoSpaceDN w:val="0"/>
              <w:spacing w:line="360" w:lineRule="auto"/>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2635" w:type="dxa"/>
            <w:noWrap w:val="0"/>
            <w:vAlign w:val="center"/>
          </w:tcPr>
          <w:p>
            <w:pPr>
              <w:autoSpaceDE w:val="0"/>
              <w:autoSpaceDN w:val="0"/>
              <w:spacing w:line="360" w:lineRule="auto"/>
              <w:jc w:val="center"/>
              <w:rPr>
                <w:rFonts w:hint="eastAsia" w:ascii="宋体" w:hAnsi="宋体" w:cs="宋体"/>
                <w:kern w:val="0"/>
                <w:szCs w:val="21"/>
              </w:rPr>
            </w:pPr>
            <w:r>
              <w:rPr>
                <w:rFonts w:hint="eastAsia" w:ascii="宋体" w:hAnsi="宋体" w:cs="宋体"/>
                <w:kern w:val="0"/>
                <w:szCs w:val="21"/>
              </w:rPr>
              <w:t>邮箱</w:t>
            </w:r>
          </w:p>
        </w:tc>
        <w:tc>
          <w:tcPr>
            <w:tcW w:w="5990" w:type="dxa"/>
            <w:noWrap w:val="0"/>
            <w:vAlign w:val="center"/>
          </w:tcPr>
          <w:p>
            <w:pPr>
              <w:autoSpaceDE w:val="0"/>
              <w:autoSpaceDN w:val="0"/>
              <w:spacing w:line="360" w:lineRule="auto"/>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2635" w:type="dxa"/>
            <w:noWrap w:val="0"/>
            <w:vAlign w:val="center"/>
          </w:tcPr>
          <w:p>
            <w:pPr>
              <w:autoSpaceDE w:val="0"/>
              <w:autoSpaceDN w:val="0"/>
              <w:spacing w:line="360" w:lineRule="auto"/>
              <w:jc w:val="center"/>
              <w:rPr>
                <w:rFonts w:hint="eastAsia" w:ascii="宋体" w:hAnsi="宋体" w:cs="宋体"/>
                <w:kern w:val="0"/>
                <w:szCs w:val="21"/>
              </w:rPr>
            </w:pPr>
            <w:r>
              <w:rPr>
                <w:rFonts w:hint="eastAsia" w:ascii="宋体" w:hAnsi="宋体" w:cs="宋体"/>
                <w:kern w:val="0"/>
                <w:szCs w:val="21"/>
              </w:rPr>
              <w:t>投标报名时间</w:t>
            </w:r>
          </w:p>
        </w:tc>
        <w:tc>
          <w:tcPr>
            <w:tcW w:w="5990" w:type="dxa"/>
            <w:noWrap w:val="0"/>
            <w:vAlign w:val="center"/>
          </w:tcPr>
          <w:p>
            <w:pPr>
              <w:autoSpaceDE w:val="0"/>
              <w:autoSpaceDN w:val="0"/>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jc w:val="center"/>
        </w:trPr>
        <w:tc>
          <w:tcPr>
            <w:tcW w:w="2635" w:type="dxa"/>
            <w:noWrap w:val="0"/>
            <w:vAlign w:val="center"/>
          </w:tcPr>
          <w:p>
            <w:pPr>
              <w:autoSpaceDE w:val="0"/>
              <w:autoSpaceDN w:val="0"/>
              <w:spacing w:line="360" w:lineRule="auto"/>
              <w:jc w:val="center"/>
              <w:rPr>
                <w:rFonts w:hint="eastAsia" w:ascii="宋体" w:hAnsi="宋体" w:cs="宋体"/>
                <w:kern w:val="0"/>
                <w:szCs w:val="21"/>
              </w:rPr>
            </w:pPr>
            <w:r>
              <w:rPr>
                <w:rFonts w:hint="eastAsia" w:ascii="宋体" w:hAnsi="宋体" w:cs="宋体"/>
                <w:kern w:val="0"/>
                <w:szCs w:val="21"/>
              </w:rPr>
              <w:t>投标报名接受人</w:t>
            </w:r>
          </w:p>
          <w:p>
            <w:pPr>
              <w:autoSpaceDE w:val="0"/>
              <w:autoSpaceDN w:val="0"/>
              <w:spacing w:line="360" w:lineRule="auto"/>
              <w:jc w:val="center"/>
              <w:rPr>
                <w:rFonts w:hint="eastAsia" w:ascii="宋体" w:hAnsi="宋体" w:cs="宋体"/>
                <w:kern w:val="0"/>
                <w:szCs w:val="21"/>
              </w:rPr>
            </w:pPr>
            <w:r>
              <w:rPr>
                <w:rFonts w:hint="eastAsia" w:ascii="宋体" w:hAnsi="宋体" w:cs="宋体"/>
                <w:kern w:val="0"/>
                <w:szCs w:val="21"/>
              </w:rPr>
              <w:t>审查意见</w:t>
            </w:r>
          </w:p>
        </w:tc>
        <w:tc>
          <w:tcPr>
            <w:tcW w:w="5990" w:type="dxa"/>
            <w:noWrap w:val="0"/>
            <w:vAlign w:val="center"/>
          </w:tcPr>
          <w:p>
            <w:pPr>
              <w:autoSpaceDE w:val="0"/>
              <w:autoSpaceDN w:val="0"/>
              <w:spacing w:line="360" w:lineRule="auto"/>
              <w:jc w:val="center"/>
              <w:rPr>
                <w:rFonts w:hint="eastAsia" w:ascii="宋体" w:hAnsi="宋体" w:cs="宋体"/>
                <w:kern w:val="0"/>
                <w:szCs w:val="21"/>
              </w:rPr>
            </w:pPr>
          </w:p>
          <w:p>
            <w:pPr>
              <w:autoSpaceDE w:val="0"/>
              <w:autoSpaceDN w:val="0"/>
              <w:spacing w:line="360" w:lineRule="auto"/>
              <w:jc w:val="both"/>
              <w:rPr>
                <w:rFonts w:hint="eastAsia" w:ascii="宋体" w:hAnsi="宋体" w:cs="宋体"/>
                <w:kern w:val="0"/>
                <w:szCs w:val="21"/>
              </w:rPr>
            </w:pPr>
            <w:r>
              <w:rPr>
                <w:rFonts w:hint="eastAsia" w:ascii="宋体" w:hAnsi="宋体" w:cs="宋体"/>
                <w:kern w:val="0"/>
                <w:szCs w:val="21"/>
              </w:rPr>
              <w:t xml:space="preserve">审查人签名：     </w:t>
            </w:r>
            <w:r>
              <w:rPr>
                <w:rFonts w:hint="eastAsia" w:ascii="宋体" w:hAnsi="宋体" w:cs="宋体"/>
                <w:kern w:val="0"/>
                <w:szCs w:val="21"/>
                <w:lang w:val="en-US" w:eastAsia="zh-CN"/>
              </w:rPr>
              <w:t xml:space="preserve">      </w:t>
            </w:r>
            <w:r>
              <w:rPr>
                <w:rFonts w:hint="eastAsia" w:ascii="宋体" w:hAnsi="宋体" w:cs="宋体"/>
                <w:kern w:val="0"/>
                <w:szCs w:val="21"/>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jc w:val="center"/>
        </w:trPr>
        <w:tc>
          <w:tcPr>
            <w:tcW w:w="2635" w:type="dxa"/>
            <w:noWrap w:val="0"/>
            <w:vAlign w:val="center"/>
          </w:tcPr>
          <w:p>
            <w:pPr>
              <w:autoSpaceDE w:val="0"/>
              <w:autoSpaceDN w:val="0"/>
              <w:spacing w:line="360" w:lineRule="auto"/>
              <w:jc w:val="center"/>
              <w:rPr>
                <w:rFonts w:hint="eastAsia" w:ascii="宋体" w:hAnsi="宋体" w:cs="宋体"/>
                <w:kern w:val="0"/>
                <w:szCs w:val="21"/>
              </w:rPr>
            </w:pPr>
            <w:r>
              <w:rPr>
                <w:rFonts w:hint="eastAsia" w:ascii="宋体" w:hAnsi="宋体" w:cs="宋体"/>
                <w:kern w:val="0"/>
                <w:szCs w:val="21"/>
              </w:rPr>
              <w:t>备  注</w:t>
            </w:r>
          </w:p>
        </w:tc>
        <w:tc>
          <w:tcPr>
            <w:tcW w:w="5990" w:type="dxa"/>
            <w:noWrap w:val="0"/>
            <w:vAlign w:val="center"/>
          </w:tcPr>
          <w:p>
            <w:pPr>
              <w:autoSpaceDE w:val="0"/>
              <w:autoSpaceDN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1．投标报名人应如实填写；</w:t>
            </w:r>
          </w:p>
          <w:p>
            <w:pPr>
              <w:autoSpaceDE w:val="0"/>
              <w:autoSpaceDN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2．所有资料、证书原件和复印件应当相符，原件由接收人审查后退还，复印件留存。</w:t>
            </w:r>
          </w:p>
        </w:tc>
      </w:tr>
    </w:tbl>
    <w:p>
      <w:pPr>
        <w:spacing w:before="100" w:after="240" w:line="500" w:lineRule="exact"/>
        <w:outlineLvl w:val="0"/>
        <w:rPr>
          <w:rFonts w:ascii="宋体" w:hAnsi="宋体"/>
          <w:b/>
          <w:bCs/>
          <w:sz w:val="28"/>
          <w:szCs w:val="28"/>
        </w:rPr>
      </w:pPr>
    </w:p>
    <w:p>
      <w:pPr>
        <w:widowControl/>
        <w:spacing w:line="500" w:lineRule="exact"/>
        <w:jc w:val="left"/>
        <w:rPr>
          <w:rFonts w:hint="eastAsia" w:ascii="宋体" w:hAnsi="宋体"/>
          <w:b/>
          <w:bCs/>
          <w:sz w:val="28"/>
          <w:szCs w:val="28"/>
          <w:lang w:val="en-US" w:eastAsia="zh-CN"/>
        </w:rPr>
      </w:pPr>
      <w:r>
        <w:rPr>
          <w:rFonts w:ascii="宋体" w:hAnsi="宋体"/>
          <w:b/>
          <w:bCs/>
          <w:sz w:val="28"/>
          <w:szCs w:val="28"/>
        </w:rPr>
        <w:br w:type="page"/>
      </w:r>
      <w:r>
        <w:rPr>
          <w:rFonts w:hint="eastAsia" w:ascii="宋体" w:hAnsi="宋体" w:cs="Times New Roman"/>
          <w:b/>
          <w:bCs/>
          <w:szCs w:val="21"/>
          <w:lang w:val="en-US" w:eastAsia="zh-CN"/>
        </w:rPr>
        <w:t>附件2：</w:t>
      </w:r>
    </w:p>
    <w:p>
      <w:pPr>
        <w:widowControl/>
        <w:spacing w:line="500" w:lineRule="exact"/>
        <w:jc w:val="center"/>
        <w:rPr>
          <w:rFonts w:hint="eastAsia" w:ascii="宋体" w:hAnsi="宋体" w:cs="宋体"/>
          <w:b/>
          <w:kern w:val="0"/>
          <w:sz w:val="32"/>
          <w:szCs w:val="32"/>
        </w:rPr>
      </w:pPr>
      <w:r>
        <w:rPr>
          <w:rFonts w:hint="eastAsia" w:ascii="宋体" w:hAnsi="宋体" w:cs="宋体"/>
          <w:b/>
          <w:kern w:val="0"/>
          <w:sz w:val="32"/>
          <w:szCs w:val="32"/>
        </w:rPr>
        <w:t xml:space="preserve">  评标细则</w:t>
      </w:r>
    </w:p>
    <w:p>
      <w:pPr>
        <w:spacing w:line="38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一、评审办法：</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采用综合评分法，由评委会对所有有效投标进行详细的评分，采用百分制计分方法。评标时，评标委员会各成员遵循公平、公正、择优原则，独立对每个有效投标人的标书进行评价、打分，各个投标人的评审后最终得分为汇总计算所有评委所评定分值的平均值（保留2位小数）。</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2、采用综合评分法的，投标文件满足</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全部实质性要求且综合得分最高的投标人为第一中标候选人。若综合评分相同，则按投标报价得分由高到低排序，最高投标报价得分为第一中标候选人；若最高投标报价得分相同的也有两家以上投标人，则该投标人现场进行二次报价，二次报价后不含税投标报价最低的投标人为第一中标候选人（但是投标报价低于成本的除外），其余以此类推。</w:t>
      </w:r>
    </w:p>
    <w:p>
      <w:pPr>
        <w:spacing w:line="38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二、评分标准：</w:t>
      </w:r>
    </w:p>
    <w:tbl>
      <w:tblPr>
        <w:tblStyle w:val="4"/>
        <w:tblW w:w="10064" w:type="dxa"/>
        <w:jc w:val="center"/>
        <w:tblLayout w:type="fixed"/>
        <w:tblCellMar>
          <w:top w:w="0" w:type="dxa"/>
          <w:left w:w="108" w:type="dxa"/>
          <w:bottom w:w="0" w:type="dxa"/>
          <w:right w:w="108" w:type="dxa"/>
        </w:tblCellMar>
      </w:tblPr>
      <w:tblGrid>
        <w:gridCol w:w="585"/>
        <w:gridCol w:w="1173"/>
        <w:gridCol w:w="608"/>
        <w:gridCol w:w="5085"/>
        <w:gridCol w:w="2613"/>
      </w:tblGrid>
      <w:tr>
        <w:tblPrEx>
          <w:tblCellMar>
            <w:top w:w="0" w:type="dxa"/>
            <w:left w:w="108" w:type="dxa"/>
            <w:bottom w:w="0" w:type="dxa"/>
            <w:right w:w="108" w:type="dxa"/>
          </w:tblCellMar>
        </w:tblPrEx>
        <w:trPr>
          <w:trHeight w:val="270"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173"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评审因素</w:t>
            </w:r>
          </w:p>
        </w:tc>
        <w:tc>
          <w:tcPr>
            <w:tcW w:w="608"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分值</w:t>
            </w:r>
          </w:p>
        </w:tc>
        <w:tc>
          <w:tcPr>
            <w:tcW w:w="50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评分标准</w:t>
            </w:r>
          </w:p>
        </w:tc>
        <w:tc>
          <w:tcPr>
            <w:tcW w:w="26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评标依据</w:t>
            </w:r>
          </w:p>
        </w:tc>
      </w:tr>
      <w:tr>
        <w:tblPrEx>
          <w:tblCellMar>
            <w:top w:w="0" w:type="dxa"/>
            <w:left w:w="108" w:type="dxa"/>
            <w:bottom w:w="0" w:type="dxa"/>
            <w:right w:w="108" w:type="dxa"/>
          </w:tblCellMar>
        </w:tblPrEx>
        <w:trPr>
          <w:trHeight w:val="90" w:hRule="atLeast"/>
          <w:jc w:val="center"/>
        </w:trPr>
        <w:tc>
          <w:tcPr>
            <w:tcW w:w="10064"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一、投标报价（30分）</w:t>
            </w:r>
          </w:p>
        </w:tc>
      </w:tr>
      <w:tr>
        <w:tblPrEx>
          <w:tblCellMar>
            <w:top w:w="0" w:type="dxa"/>
            <w:left w:w="108" w:type="dxa"/>
            <w:bottom w:w="0" w:type="dxa"/>
            <w:right w:w="108" w:type="dxa"/>
          </w:tblCellMar>
        </w:tblPrEx>
        <w:trPr>
          <w:trHeight w:val="2125" w:hRule="atLeast"/>
          <w:jc w:val="center"/>
        </w:trPr>
        <w:tc>
          <w:tcPr>
            <w:tcW w:w="58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17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投标报价</w:t>
            </w:r>
          </w:p>
        </w:tc>
        <w:tc>
          <w:tcPr>
            <w:tcW w:w="608"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30</w:t>
            </w:r>
          </w:p>
        </w:tc>
        <w:tc>
          <w:tcPr>
            <w:tcW w:w="5085" w:type="dxa"/>
            <w:tcBorders>
              <w:top w:val="single" w:color="auto" w:sz="4" w:space="0"/>
              <w:left w:val="nil"/>
              <w:bottom w:val="single" w:color="auto" w:sz="4" w:space="0"/>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满足招标文件要求且投标价格最低的投标报价为评标基准价，其价格为30分，其他投标人的价格统一按照下列公式计算：投标报价得分=（评标基准价/投标报价）*30%*100（计算结果四舍五入保留两位小数，明显不符合现行法律法规要求的报价视为无效投标文件）。</w:t>
            </w:r>
          </w:p>
        </w:tc>
        <w:tc>
          <w:tcPr>
            <w:tcW w:w="2613"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82" w:hRule="atLeast"/>
          <w:jc w:val="center"/>
        </w:trPr>
        <w:tc>
          <w:tcPr>
            <w:tcW w:w="10064"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二、</w:t>
            </w:r>
            <w:r>
              <w:rPr>
                <w:rFonts w:hint="eastAsia" w:ascii="宋体" w:hAnsi="宋体" w:cs="宋体"/>
                <w:b/>
                <w:bCs/>
                <w:color w:val="auto"/>
                <w:kern w:val="0"/>
                <w:sz w:val="24"/>
                <w:highlight w:val="none"/>
              </w:rPr>
              <w:t>供应商综合实力（</w:t>
            </w:r>
            <w:r>
              <w:rPr>
                <w:rFonts w:hint="eastAsia" w:ascii="宋体" w:hAnsi="宋体" w:cs="宋体"/>
                <w:b/>
                <w:bCs/>
                <w:color w:val="auto"/>
                <w:kern w:val="0"/>
                <w:sz w:val="24"/>
                <w:highlight w:val="none"/>
                <w:lang w:val="en-US" w:eastAsia="zh-CN"/>
              </w:rPr>
              <w:t>35</w:t>
            </w:r>
            <w:r>
              <w:rPr>
                <w:rFonts w:hint="eastAsia" w:ascii="宋体" w:hAnsi="宋体" w:cs="宋体"/>
                <w:b/>
                <w:bCs/>
                <w:color w:val="auto"/>
                <w:kern w:val="0"/>
                <w:sz w:val="24"/>
                <w:highlight w:val="none"/>
              </w:rPr>
              <w:t>分）</w:t>
            </w:r>
          </w:p>
        </w:tc>
      </w:tr>
      <w:tr>
        <w:tblPrEx>
          <w:tblCellMar>
            <w:top w:w="0" w:type="dxa"/>
            <w:left w:w="108" w:type="dxa"/>
            <w:bottom w:w="0" w:type="dxa"/>
            <w:right w:w="108" w:type="dxa"/>
          </w:tblCellMar>
        </w:tblPrEx>
        <w:trPr>
          <w:trHeight w:val="1011" w:hRule="atLeast"/>
          <w:jc w:val="center"/>
        </w:trPr>
        <w:tc>
          <w:tcPr>
            <w:tcW w:w="58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17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b/>
                <w:bCs/>
                <w:color w:val="auto"/>
                <w:kern w:val="0"/>
                <w:szCs w:val="21"/>
                <w:highlight w:val="none"/>
              </w:rPr>
              <w:t>认证体系</w:t>
            </w:r>
          </w:p>
        </w:tc>
        <w:tc>
          <w:tcPr>
            <w:tcW w:w="60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5085"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具有与物业服务有关有效的ISO9001、14001、18001管理体系认证的，有一项得1分，最高3分。</w:t>
            </w:r>
          </w:p>
        </w:tc>
        <w:tc>
          <w:tcPr>
            <w:tcW w:w="2613"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auto"/>
                <w:kern w:val="0"/>
                <w:szCs w:val="21"/>
                <w:highlight w:val="none"/>
              </w:rPr>
            </w:pPr>
            <w:r>
              <w:rPr>
                <w:rFonts w:hint="eastAsia" w:ascii="宋体" w:hAnsi="宋体" w:cs="宋体"/>
                <w:b/>
                <w:bCs/>
                <w:color w:val="auto"/>
                <w:kern w:val="0"/>
                <w:szCs w:val="21"/>
                <w:highlight w:val="none"/>
              </w:rPr>
              <w:t>响应文件中提供证书复印件并加盖供应商公章或</w:t>
            </w:r>
            <w:r>
              <w:rPr>
                <w:rFonts w:hint="eastAsia" w:ascii="宋体" w:hAnsi="宋体" w:cs="宋体"/>
                <w:b/>
                <w:bCs/>
                <w:color w:val="auto"/>
                <w:szCs w:val="21"/>
                <w:highlight w:val="none"/>
              </w:rPr>
              <w:t>官网有效期内查询报告加盖公章</w:t>
            </w:r>
            <w:r>
              <w:rPr>
                <w:rFonts w:hint="eastAsia" w:ascii="宋体" w:hAnsi="宋体" w:cs="宋体"/>
                <w:b/>
                <w:bCs/>
                <w:color w:val="auto"/>
                <w:kern w:val="0"/>
                <w:szCs w:val="21"/>
                <w:highlight w:val="none"/>
              </w:rPr>
              <w:t>。未按要求提供不得分。</w:t>
            </w:r>
          </w:p>
        </w:tc>
      </w:tr>
      <w:tr>
        <w:tblPrEx>
          <w:tblCellMar>
            <w:top w:w="0" w:type="dxa"/>
            <w:left w:w="108" w:type="dxa"/>
            <w:bottom w:w="0" w:type="dxa"/>
            <w:right w:w="108" w:type="dxa"/>
          </w:tblCellMar>
        </w:tblPrEx>
        <w:trPr>
          <w:trHeight w:val="133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17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b/>
                <w:bCs/>
                <w:color w:val="auto"/>
                <w:kern w:val="0"/>
                <w:szCs w:val="21"/>
                <w:highlight w:val="none"/>
              </w:rPr>
              <w:t>公共项目业绩</w:t>
            </w:r>
          </w:p>
        </w:tc>
        <w:tc>
          <w:tcPr>
            <w:tcW w:w="60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5085" w:type="dxa"/>
            <w:tcBorders>
              <w:top w:val="single" w:color="auto" w:sz="4" w:space="0"/>
              <w:left w:val="nil"/>
              <w:bottom w:val="single" w:color="auto" w:sz="4" w:space="0"/>
              <w:right w:val="single" w:color="auto" w:sz="4" w:space="0"/>
            </w:tcBorders>
            <w:noWrap w:val="0"/>
            <w:vAlign w:val="top"/>
          </w:tcPr>
          <w:p>
            <w:pPr>
              <w:widowControl/>
              <w:rPr>
                <w:rFonts w:ascii="宋体" w:hAnsi="宋体" w:cs="宋体"/>
                <w:color w:val="auto"/>
                <w:kern w:val="0"/>
                <w:szCs w:val="21"/>
                <w:highlight w:val="none"/>
              </w:rPr>
            </w:pPr>
          </w:p>
          <w:p>
            <w:pPr>
              <w:widowControl/>
              <w:rPr>
                <w:rFonts w:ascii="宋体" w:hAnsi="宋体" w:cs="宋体"/>
                <w:color w:val="auto"/>
                <w:kern w:val="0"/>
                <w:szCs w:val="21"/>
                <w:highlight w:val="none"/>
              </w:rPr>
            </w:pPr>
          </w:p>
          <w:p>
            <w:pPr>
              <w:widowControl/>
              <w:rPr>
                <w:rFonts w:ascii="宋体" w:hAnsi="宋体" w:cs="宋体"/>
                <w:color w:val="auto"/>
                <w:kern w:val="0"/>
                <w:szCs w:val="21"/>
                <w:highlight w:val="none"/>
              </w:rPr>
            </w:pPr>
            <w:r>
              <w:rPr>
                <w:rFonts w:hint="eastAsia" w:ascii="宋体" w:hAnsi="宋体" w:cs="宋体"/>
                <w:color w:val="auto"/>
                <w:kern w:val="0"/>
                <w:szCs w:val="21"/>
                <w:highlight w:val="none"/>
              </w:rPr>
              <w:t>2020年1月1日以来，在管或服务满1年的总建筑面积3万平方米（含）以上的</w:t>
            </w:r>
            <w:r>
              <w:rPr>
                <w:rFonts w:hint="eastAsia" w:ascii="宋体" w:hAnsi="宋体" w:cs="宋体"/>
                <w:color w:val="auto"/>
                <w:kern w:val="0"/>
                <w:szCs w:val="21"/>
                <w:highlight w:val="none"/>
                <w:lang w:val="en-US" w:eastAsia="zh-CN"/>
              </w:rPr>
              <w:t>公建（</w:t>
            </w:r>
            <w:r>
              <w:rPr>
                <w:rFonts w:hint="eastAsia" w:ascii="宋体" w:hAnsi="宋体" w:cs="宋体"/>
                <w:color w:val="auto"/>
                <w:kern w:val="0"/>
                <w:szCs w:val="21"/>
                <w:highlight w:val="none"/>
              </w:rPr>
              <w:t>非</w:t>
            </w:r>
            <w:r>
              <w:rPr>
                <w:rFonts w:hint="eastAsia" w:ascii="宋体" w:hAnsi="宋体" w:cs="宋体"/>
                <w:color w:val="auto"/>
                <w:kern w:val="0"/>
                <w:szCs w:val="21"/>
                <w:highlight w:val="none"/>
                <w:lang w:val="en-US" w:eastAsia="zh-CN"/>
              </w:rPr>
              <w:t>厂房、非</w:t>
            </w:r>
            <w:r>
              <w:rPr>
                <w:rFonts w:hint="eastAsia" w:ascii="宋体" w:hAnsi="宋体" w:cs="宋体"/>
                <w:color w:val="auto"/>
                <w:kern w:val="0"/>
                <w:szCs w:val="21"/>
                <w:highlight w:val="none"/>
              </w:rPr>
              <w:t>住宅</w:t>
            </w:r>
            <w:r>
              <w:rPr>
                <w:rFonts w:hint="eastAsia" w:ascii="宋体" w:hAnsi="宋体" w:cs="宋体"/>
                <w:color w:val="auto"/>
                <w:kern w:val="0"/>
                <w:szCs w:val="21"/>
                <w:highlight w:val="none"/>
                <w:lang w:val="en-US" w:eastAsia="zh-CN"/>
              </w:rPr>
              <w:t>类）</w:t>
            </w:r>
            <w:r>
              <w:rPr>
                <w:rFonts w:hint="eastAsia" w:ascii="宋体" w:hAnsi="宋体" w:cs="宋体"/>
                <w:color w:val="auto"/>
                <w:kern w:val="0"/>
                <w:szCs w:val="21"/>
                <w:highlight w:val="none"/>
              </w:rPr>
              <w:t>物业项目，每有1个得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分，最高不超过12分。 </w:t>
            </w:r>
          </w:p>
        </w:tc>
        <w:tc>
          <w:tcPr>
            <w:tcW w:w="2613"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spacing w:val="-2"/>
                <w:szCs w:val="21"/>
                <w:highlight w:val="none"/>
                <w:lang w:val="en-US" w:eastAsia="zh-CN"/>
              </w:rPr>
            </w:pPr>
            <w:r>
              <w:rPr>
                <w:rFonts w:hint="eastAsia" w:ascii="宋体" w:hAnsi="宋体" w:cs="宋体"/>
                <w:b/>
                <w:bCs/>
                <w:color w:val="auto"/>
                <w:spacing w:val="-2"/>
                <w:szCs w:val="21"/>
                <w:highlight w:val="none"/>
              </w:rPr>
              <w:t>服务内容至少包含：保安、保洁、维修三项，</w:t>
            </w:r>
            <w:r>
              <w:rPr>
                <w:rFonts w:hint="eastAsia" w:ascii="宋体" w:hAnsi="宋体" w:cs="宋体"/>
                <w:b/>
                <w:bCs/>
                <w:color w:val="auto"/>
                <w:kern w:val="0"/>
                <w:szCs w:val="21"/>
                <w:highlight w:val="none"/>
              </w:rPr>
              <w:t>响应文件中提供以上合同复印件并加盖供应商公章,</w:t>
            </w:r>
            <w:r>
              <w:rPr>
                <w:rFonts w:hint="eastAsia" w:ascii="宋体" w:hAnsi="宋体" w:cs="宋体"/>
                <w:b/>
                <w:bCs/>
                <w:color w:val="auto"/>
                <w:spacing w:val="-2"/>
                <w:szCs w:val="21"/>
                <w:highlight w:val="none"/>
              </w:rPr>
              <w:t>时间以合同签订的服务时间为准、面积以合同上载明的面积为准。如</w:t>
            </w:r>
            <w:r>
              <w:rPr>
                <w:rFonts w:hint="eastAsia" w:ascii="宋体" w:hAnsi="宋体" w:cs="宋体"/>
                <w:b/>
                <w:bCs/>
                <w:color w:val="auto"/>
                <w:spacing w:val="-2"/>
                <w:szCs w:val="21"/>
                <w:highlight w:val="none"/>
                <w:lang w:val="en-US" w:eastAsia="zh-CN"/>
              </w:rPr>
              <w:t>合同</w:t>
            </w:r>
            <w:r>
              <w:rPr>
                <w:rFonts w:hint="eastAsia" w:ascii="宋体" w:hAnsi="宋体" w:cs="宋体"/>
                <w:b/>
                <w:bCs/>
                <w:color w:val="auto"/>
                <w:spacing w:val="-2"/>
                <w:szCs w:val="21"/>
                <w:highlight w:val="none"/>
              </w:rPr>
              <w:t>无法完全反映上述内容的则需另行提供由建设单位加盖公章的证明材料原件</w:t>
            </w:r>
          </w:p>
        </w:tc>
      </w:tr>
      <w:tr>
        <w:tblPrEx>
          <w:tblCellMar>
            <w:top w:w="0" w:type="dxa"/>
            <w:left w:w="108" w:type="dxa"/>
            <w:bottom w:w="0" w:type="dxa"/>
            <w:right w:w="108" w:type="dxa"/>
          </w:tblCellMar>
        </w:tblPrEx>
        <w:trPr>
          <w:trHeight w:val="1376"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b/>
                <w:bCs/>
                <w:color w:val="auto"/>
                <w:kern w:val="0"/>
                <w:szCs w:val="21"/>
                <w:highlight w:val="none"/>
              </w:rPr>
              <w:t>管理项目荣誉情况</w:t>
            </w:r>
          </w:p>
        </w:tc>
        <w:tc>
          <w:tcPr>
            <w:tcW w:w="6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5085" w:type="dxa"/>
            <w:tcBorders>
              <w:top w:val="single" w:color="auto" w:sz="4" w:space="0"/>
              <w:left w:val="nil"/>
              <w:bottom w:val="single" w:color="auto" w:sz="4" w:space="0"/>
              <w:right w:val="single" w:color="auto" w:sz="4" w:space="0"/>
            </w:tcBorders>
            <w:noWrap w:val="0"/>
            <w:vAlign w:val="top"/>
          </w:tcPr>
          <w:p>
            <w:pPr>
              <w:widowControl/>
              <w:rPr>
                <w:color w:val="auto"/>
                <w:highlight w:val="none"/>
              </w:rPr>
            </w:pPr>
            <w:r>
              <w:rPr>
                <w:rFonts w:hint="eastAsia"/>
                <w:color w:val="auto"/>
                <w:highlight w:val="none"/>
              </w:rPr>
              <w:t>2020年1月1日以来（以获奖文件颁发时间为准）投标单位所管项目获得省级及以上</w:t>
            </w:r>
            <w:r>
              <w:rPr>
                <w:rFonts w:hint="eastAsia"/>
                <w:color w:val="auto"/>
                <w:highlight w:val="none"/>
                <w:lang w:val="en-US" w:eastAsia="zh-CN"/>
              </w:rPr>
              <w:t>行政主管部门颁发的</w:t>
            </w:r>
            <w:r>
              <w:rPr>
                <w:rFonts w:hint="eastAsia"/>
                <w:color w:val="auto"/>
                <w:highlight w:val="none"/>
              </w:rPr>
              <w:t>示范物业管理项目(优秀项目)一个得</w:t>
            </w:r>
            <w:r>
              <w:rPr>
                <w:rFonts w:hint="eastAsia"/>
                <w:color w:val="auto"/>
                <w:highlight w:val="none"/>
                <w:lang w:val="en-US" w:eastAsia="zh-CN"/>
              </w:rPr>
              <w:t>5</w:t>
            </w:r>
            <w:r>
              <w:rPr>
                <w:rFonts w:hint="eastAsia"/>
                <w:color w:val="auto"/>
                <w:highlight w:val="none"/>
              </w:rPr>
              <w:t>分，获得市级</w:t>
            </w:r>
            <w:r>
              <w:rPr>
                <w:rFonts w:hint="eastAsia"/>
                <w:color w:val="auto"/>
                <w:highlight w:val="none"/>
                <w:lang w:val="en-US" w:eastAsia="zh-CN"/>
              </w:rPr>
              <w:t>行政主管部门颁发的</w:t>
            </w:r>
            <w:r>
              <w:rPr>
                <w:rFonts w:hint="eastAsia"/>
                <w:color w:val="auto"/>
                <w:highlight w:val="none"/>
              </w:rPr>
              <w:t>示范物业管理项目(优秀项目)一个得</w:t>
            </w:r>
            <w:r>
              <w:rPr>
                <w:rFonts w:hint="eastAsia"/>
                <w:color w:val="auto"/>
                <w:highlight w:val="none"/>
                <w:lang w:val="en-US" w:eastAsia="zh-CN"/>
              </w:rPr>
              <w:t>2</w:t>
            </w:r>
            <w:r>
              <w:rPr>
                <w:rFonts w:hint="eastAsia"/>
                <w:color w:val="auto"/>
                <w:highlight w:val="none"/>
              </w:rPr>
              <w:t>分，本项最高得</w:t>
            </w:r>
            <w:r>
              <w:rPr>
                <w:rFonts w:hint="eastAsia"/>
                <w:color w:val="auto"/>
                <w:highlight w:val="none"/>
                <w:lang w:val="en-US" w:eastAsia="zh-CN"/>
              </w:rPr>
              <w:t>5</w:t>
            </w:r>
            <w:r>
              <w:rPr>
                <w:rFonts w:hint="eastAsia"/>
                <w:color w:val="auto"/>
                <w:highlight w:val="none"/>
              </w:rPr>
              <w:t>分。提供表彰文件和服务合同复印件加盖投标单位公章。</w:t>
            </w:r>
          </w:p>
        </w:tc>
        <w:tc>
          <w:tcPr>
            <w:tcW w:w="2613" w:type="dxa"/>
            <w:tcBorders>
              <w:top w:val="single" w:color="auto" w:sz="4" w:space="0"/>
              <w:left w:val="nil"/>
              <w:bottom w:val="single" w:color="auto" w:sz="4" w:space="0"/>
              <w:right w:val="single" w:color="auto" w:sz="4" w:space="0"/>
            </w:tcBorders>
            <w:noWrap w:val="0"/>
            <w:vAlign w:val="center"/>
          </w:tcPr>
          <w:p>
            <w:pPr>
              <w:widowControl/>
              <w:tabs>
                <w:tab w:val="left" w:pos="1200"/>
              </w:tabs>
              <w:jc w:val="center"/>
              <w:rPr>
                <w:rFonts w:ascii="宋体" w:hAnsi="宋体" w:cs="宋体"/>
                <w:bCs/>
                <w:color w:val="auto"/>
                <w:szCs w:val="21"/>
                <w:highlight w:val="none"/>
              </w:rPr>
            </w:pPr>
            <w:r>
              <w:rPr>
                <w:rFonts w:hint="eastAsia" w:ascii="宋体" w:hAnsi="宋体" w:cs="宋体"/>
                <w:b/>
                <w:bCs/>
                <w:color w:val="auto"/>
                <w:kern w:val="0"/>
                <w:szCs w:val="21"/>
                <w:highlight w:val="none"/>
              </w:rPr>
              <w:t>响应文件中</w:t>
            </w:r>
            <w:r>
              <w:rPr>
                <w:rFonts w:hint="eastAsia" w:ascii="宋体" w:hAnsi="宋体" w:cs="宋体"/>
                <w:b/>
                <w:bCs/>
                <w:snapToGrid w:val="0"/>
                <w:color w:val="auto"/>
                <w:szCs w:val="21"/>
                <w:highlight w:val="none"/>
              </w:rPr>
              <w:t>提供表彰文件和服务合同复印件并加盖供应商公章</w:t>
            </w:r>
            <w:r>
              <w:rPr>
                <w:rFonts w:hint="eastAsia" w:ascii="宋体" w:hAnsi="宋体" w:cs="宋体"/>
                <w:b/>
                <w:bCs/>
                <w:snapToGrid w:val="0"/>
                <w:color w:val="auto"/>
                <w:sz w:val="24"/>
                <w:highlight w:val="none"/>
              </w:rPr>
              <w:t>。</w:t>
            </w:r>
          </w:p>
        </w:tc>
      </w:tr>
      <w:tr>
        <w:tblPrEx>
          <w:tblCellMar>
            <w:top w:w="0" w:type="dxa"/>
            <w:left w:w="108" w:type="dxa"/>
            <w:bottom w:w="0" w:type="dxa"/>
            <w:right w:w="108" w:type="dxa"/>
          </w:tblCellMar>
        </w:tblPrEx>
        <w:trPr>
          <w:trHeight w:val="1511" w:hRule="atLeas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173" w:type="dxa"/>
            <w:vMerge w:val="restart"/>
            <w:tcBorders>
              <w:top w:val="single" w:color="auto" w:sz="4" w:space="0"/>
              <w:left w:val="nil"/>
              <w:right w:val="single" w:color="auto" w:sz="4" w:space="0"/>
            </w:tcBorders>
            <w:noWrap w:val="0"/>
            <w:vAlign w:val="center"/>
          </w:tcPr>
          <w:p>
            <w:pPr>
              <w:widowControl/>
              <w:spacing w:line="32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团队人员实力</w:t>
            </w:r>
          </w:p>
        </w:tc>
        <w:tc>
          <w:tcPr>
            <w:tcW w:w="6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5085" w:type="dxa"/>
            <w:tcBorders>
              <w:top w:val="single" w:color="auto" w:sz="4" w:space="0"/>
              <w:left w:val="nil"/>
              <w:bottom w:val="single" w:color="auto" w:sz="4" w:space="0"/>
              <w:right w:val="single" w:color="auto" w:sz="4" w:space="0"/>
            </w:tcBorders>
            <w:noWrap w:val="0"/>
            <w:vAlign w:val="center"/>
          </w:tcPr>
          <w:p>
            <w:pPr>
              <w:widowControl/>
              <w:jc w:val="left"/>
              <w:rPr>
                <w:color w:val="auto"/>
                <w:highlight w:val="none"/>
              </w:rPr>
            </w:pPr>
            <w:r>
              <w:rPr>
                <w:rFonts w:hint="eastAsia"/>
                <w:color w:val="auto"/>
                <w:highlight w:val="none"/>
              </w:rPr>
              <w:t>拟派遣</w:t>
            </w:r>
            <w:r>
              <w:rPr>
                <w:rFonts w:hint="eastAsia"/>
                <w:color w:val="auto"/>
                <w:highlight w:val="none"/>
                <w:lang w:val="en-US" w:eastAsia="zh-CN"/>
              </w:rPr>
              <w:t>物业经理</w:t>
            </w:r>
            <w:r>
              <w:rPr>
                <w:rFonts w:hint="eastAsia"/>
                <w:color w:val="auto"/>
                <w:highlight w:val="none"/>
              </w:rPr>
              <w:t>:</w:t>
            </w:r>
          </w:p>
          <w:p>
            <w:pPr>
              <w:widowControl/>
              <w:numPr>
                <w:ilvl w:val="0"/>
                <w:numId w:val="0"/>
              </w:numPr>
              <w:tabs>
                <w:tab w:val="left" w:pos="312"/>
              </w:tabs>
              <w:jc w:val="left"/>
              <w:rPr>
                <w:color w:val="auto"/>
                <w:highlight w:val="none"/>
              </w:rPr>
            </w:pPr>
            <w:r>
              <w:rPr>
                <w:rFonts w:hint="eastAsia"/>
                <w:color w:val="auto"/>
                <w:highlight w:val="none"/>
                <w:lang w:val="en-US" w:eastAsia="zh-CN"/>
              </w:rPr>
              <w:t>1</w:t>
            </w:r>
            <w:r>
              <w:rPr>
                <w:rFonts w:hint="eastAsia"/>
                <w:color w:val="auto"/>
                <w:highlight w:val="none"/>
              </w:rPr>
              <w:t>.</w:t>
            </w:r>
            <w:r>
              <w:rPr>
                <w:rFonts w:hint="eastAsia" w:eastAsia="宋体" w:cs="Times New Roman"/>
                <w:color w:val="auto"/>
                <w:highlight w:val="none"/>
              </w:rPr>
              <w:t>具</w:t>
            </w:r>
            <w:r>
              <w:rPr>
                <w:rFonts w:hint="eastAsia"/>
                <w:color w:val="auto"/>
                <w:highlight w:val="none"/>
              </w:rPr>
              <w:t>备物业管理经理上岗证的得1分；</w:t>
            </w:r>
          </w:p>
          <w:p>
            <w:pPr>
              <w:widowControl/>
              <w:jc w:val="left"/>
              <w:rPr>
                <w:color w:val="auto"/>
                <w:highlight w:val="none"/>
              </w:rPr>
            </w:pPr>
            <w:r>
              <w:rPr>
                <w:rFonts w:hint="eastAsia"/>
                <w:color w:val="auto"/>
                <w:highlight w:val="none"/>
              </w:rPr>
              <w:t>2.具备大专及以上学历的得1分；</w:t>
            </w:r>
          </w:p>
          <w:p>
            <w:pPr>
              <w:widowControl/>
              <w:jc w:val="left"/>
              <w:rPr>
                <w:color w:val="auto"/>
                <w:highlight w:val="none"/>
              </w:rPr>
            </w:pPr>
            <w:r>
              <w:rPr>
                <w:rFonts w:hint="eastAsia"/>
                <w:color w:val="auto"/>
                <w:highlight w:val="none"/>
              </w:rPr>
              <w:t>3.具备</w:t>
            </w:r>
            <w:r>
              <w:rPr>
                <w:rFonts w:hint="eastAsia" w:ascii="Times New Roman" w:hAnsi="Times New Roman" w:eastAsia="宋体" w:cs="Times New Roman"/>
                <w:b w:val="0"/>
                <w:bCs w:val="0"/>
                <w:color w:val="auto"/>
                <w:sz w:val="21"/>
                <w:szCs w:val="20"/>
                <w:highlight w:val="none"/>
                <w:lang w:val="en-US" w:eastAsia="zh-CN"/>
              </w:rPr>
              <w:t>物业管理师（高级）证</w:t>
            </w:r>
            <w:r>
              <w:rPr>
                <w:rFonts w:hint="eastAsia" w:eastAsia="宋体" w:cs="Times New Roman"/>
                <w:color w:val="auto"/>
                <w:highlight w:val="none"/>
              </w:rPr>
              <w:t>的</w:t>
            </w:r>
            <w:r>
              <w:rPr>
                <w:rFonts w:hint="eastAsia"/>
                <w:color w:val="auto"/>
                <w:highlight w:val="none"/>
              </w:rPr>
              <w:t>得</w:t>
            </w:r>
            <w:r>
              <w:rPr>
                <w:rFonts w:hint="eastAsia"/>
                <w:color w:val="auto"/>
                <w:highlight w:val="none"/>
                <w:lang w:val="en-US" w:eastAsia="zh-CN"/>
              </w:rPr>
              <w:t>4</w:t>
            </w:r>
            <w:r>
              <w:rPr>
                <w:rFonts w:hint="eastAsia"/>
                <w:color w:val="auto"/>
                <w:highlight w:val="none"/>
              </w:rPr>
              <w:t>分；具备</w:t>
            </w:r>
            <w:r>
              <w:rPr>
                <w:rFonts w:hint="eastAsia" w:ascii="Times New Roman" w:hAnsi="Times New Roman" w:eastAsia="宋体" w:cs="Times New Roman"/>
                <w:b w:val="0"/>
                <w:bCs w:val="0"/>
                <w:color w:val="auto"/>
                <w:sz w:val="21"/>
                <w:szCs w:val="20"/>
                <w:highlight w:val="none"/>
                <w:lang w:val="en-US" w:eastAsia="zh-CN"/>
              </w:rPr>
              <w:t>物业管理师（</w:t>
            </w:r>
            <w:r>
              <w:rPr>
                <w:rFonts w:hint="eastAsia" w:eastAsia="宋体" w:cs="Times New Roman"/>
                <w:b w:val="0"/>
                <w:bCs w:val="0"/>
                <w:color w:val="auto"/>
                <w:sz w:val="21"/>
                <w:szCs w:val="20"/>
                <w:highlight w:val="none"/>
                <w:lang w:val="en-US" w:eastAsia="zh-CN"/>
              </w:rPr>
              <w:t>中级</w:t>
            </w:r>
            <w:r>
              <w:rPr>
                <w:rFonts w:hint="eastAsia" w:ascii="Times New Roman" w:hAnsi="Times New Roman" w:eastAsia="宋体" w:cs="Times New Roman"/>
                <w:b w:val="0"/>
                <w:bCs w:val="0"/>
                <w:color w:val="auto"/>
                <w:sz w:val="21"/>
                <w:szCs w:val="20"/>
                <w:highlight w:val="none"/>
                <w:lang w:val="en-US" w:eastAsia="zh-CN"/>
              </w:rPr>
              <w:t>）证</w:t>
            </w:r>
            <w:r>
              <w:rPr>
                <w:rFonts w:hint="eastAsia" w:eastAsia="宋体" w:cs="Times New Roman"/>
                <w:color w:val="auto"/>
                <w:highlight w:val="none"/>
              </w:rPr>
              <w:t>的</w:t>
            </w:r>
            <w:r>
              <w:rPr>
                <w:rFonts w:hint="eastAsia"/>
                <w:color w:val="auto"/>
                <w:highlight w:val="none"/>
              </w:rPr>
              <w:t>得</w:t>
            </w:r>
            <w:r>
              <w:rPr>
                <w:rFonts w:hint="eastAsia"/>
                <w:color w:val="auto"/>
                <w:highlight w:val="none"/>
                <w:lang w:val="en-US" w:eastAsia="zh-CN"/>
              </w:rPr>
              <w:t>2</w:t>
            </w:r>
            <w:r>
              <w:rPr>
                <w:rFonts w:hint="eastAsia"/>
                <w:color w:val="auto"/>
                <w:highlight w:val="none"/>
              </w:rPr>
              <w:t>分；具备</w:t>
            </w:r>
            <w:r>
              <w:rPr>
                <w:rFonts w:hint="eastAsia" w:ascii="Times New Roman" w:hAnsi="Times New Roman" w:eastAsia="宋体" w:cs="Times New Roman"/>
                <w:b w:val="0"/>
                <w:bCs w:val="0"/>
                <w:color w:val="auto"/>
                <w:sz w:val="21"/>
                <w:szCs w:val="20"/>
                <w:highlight w:val="none"/>
                <w:lang w:val="en-US" w:eastAsia="zh-CN"/>
              </w:rPr>
              <w:t>物业管理师（</w:t>
            </w:r>
            <w:r>
              <w:rPr>
                <w:rFonts w:hint="eastAsia" w:eastAsia="宋体" w:cs="Times New Roman"/>
                <w:b w:val="0"/>
                <w:bCs w:val="0"/>
                <w:color w:val="auto"/>
                <w:sz w:val="21"/>
                <w:szCs w:val="20"/>
                <w:highlight w:val="none"/>
                <w:lang w:val="en-US" w:eastAsia="zh-CN"/>
              </w:rPr>
              <w:t>初</w:t>
            </w:r>
            <w:r>
              <w:rPr>
                <w:rFonts w:hint="eastAsia" w:ascii="Times New Roman" w:hAnsi="Times New Roman" w:eastAsia="宋体" w:cs="Times New Roman"/>
                <w:b w:val="0"/>
                <w:bCs w:val="0"/>
                <w:color w:val="auto"/>
                <w:sz w:val="21"/>
                <w:szCs w:val="20"/>
                <w:highlight w:val="none"/>
                <w:lang w:val="en-US" w:eastAsia="zh-CN"/>
              </w:rPr>
              <w:t>级）证</w:t>
            </w:r>
            <w:r>
              <w:rPr>
                <w:rFonts w:hint="eastAsia" w:eastAsia="宋体" w:cs="Times New Roman"/>
                <w:color w:val="auto"/>
                <w:highlight w:val="none"/>
              </w:rPr>
              <w:t>的</w:t>
            </w:r>
            <w:r>
              <w:rPr>
                <w:rFonts w:hint="eastAsia"/>
                <w:color w:val="auto"/>
                <w:highlight w:val="none"/>
              </w:rPr>
              <w:t>得</w:t>
            </w:r>
            <w:r>
              <w:rPr>
                <w:rFonts w:hint="eastAsia"/>
                <w:color w:val="auto"/>
                <w:highlight w:val="none"/>
                <w:lang w:val="en-US" w:eastAsia="zh-CN"/>
              </w:rPr>
              <w:t>1</w:t>
            </w:r>
            <w:r>
              <w:rPr>
                <w:rFonts w:hint="eastAsia"/>
                <w:color w:val="auto"/>
                <w:highlight w:val="none"/>
              </w:rPr>
              <w:t>分；</w:t>
            </w:r>
          </w:p>
        </w:tc>
        <w:tc>
          <w:tcPr>
            <w:tcW w:w="2613" w:type="dxa"/>
            <w:tcBorders>
              <w:top w:val="single" w:color="auto" w:sz="4" w:space="0"/>
              <w:left w:val="nil"/>
              <w:bottom w:val="single" w:color="auto" w:sz="4" w:space="0"/>
              <w:right w:val="single" w:color="auto" w:sz="4" w:space="0"/>
            </w:tcBorders>
            <w:noWrap w:val="0"/>
            <w:vAlign w:val="center"/>
          </w:tcPr>
          <w:p>
            <w:pPr>
              <w:widowControl/>
              <w:tabs>
                <w:tab w:val="left" w:pos="1200"/>
              </w:tabs>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响应文件中提供以上人员证书复印件并加盖供应商公章及供应商为其缴纳的近三个月社保证明复印件并加盖供应商公章。</w:t>
            </w:r>
          </w:p>
        </w:tc>
      </w:tr>
      <w:tr>
        <w:tblPrEx>
          <w:tblCellMar>
            <w:top w:w="0" w:type="dxa"/>
            <w:left w:w="108" w:type="dxa"/>
            <w:bottom w:w="0" w:type="dxa"/>
            <w:right w:w="108" w:type="dxa"/>
          </w:tblCellMar>
        </w:tblPrEx>
        <w:trPr>
          <w:trHeight w:val="1187" w:hRule="atLeast"/>
          <w:jc w:val="center"/>
        </w:trPr>
        <w:tc>
          <w:tcPr>
            <w:tcW w:w="585"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c>
          <w:tcPr>
            <w:tcW w:w="1173" w:type="dxa"/>
            <w:vMerge w:val="continue"/>
            <w:tcBorders>
              <w:left w:val="nil"/>
              <w:right w:val="single" w:color="auto" w:sz="4" w:space="0"/>
            </w:tcBorders>
            <w:noWrap w:val="0"/>
            <w:vAlign w:val="center"/>
          </w:tcPr>
          <w:p>
            <w:pPr>
              <w:widowControl/>
              <w:spacing w:line="320" w:lineRule="exact"/>
              <w:jc w:val="center"/>
              <w:rPr>
                <w:rFonts w:hint="eastAsia" w:ascii="宋体" w:hAnsi="宋体" w:cs="宋体"/>
                <w:b/>
                <w:bCs/>
                <w:color w:val="auto"/>
                <w:kern w:val="0"/>
                <w:szCs w:val="21"/>
                <w:highlight w:val="none"/>
              </w:rPr>
            </w:pPr>
          </w:p>
        </w:tc>
        <w:tc>
          <w:tcPr>
            <w:tcW w:w="6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5085" w:type="dxa"/>
            <w:tcBorders>
              <w:top w:val="single" w:color="auto" w:sz="4" w:space="0"/>
              <w:left w:val="nil"/>
              <w:bottom w:val="single" w:color="auto" w:sz="4" w:space="0"/>
              <w:right w:val="single" w:color="auto" w:sz="4" w:space="0"/>
            </w:tcBorders>
            <w:noWrap w:val="0"/>
            <w:vAlign w:val="center"/>
          </w:tcPr>
          <w:p>
            <w:pPr>
              <w:widowControl/>
              <w:jc w:val="left"/>
              <w:rPr>
                <w:rFonts w:hint="eastAsia"/>
                <w:color w:val="auto"/>
                <w:highlight w:val="none"/>
                <w:lang w:val="en-US" w:eastAsia="zh-CN"/>
              </w:rPr>
            </w:pPr>
            <w:r>
              <w:rPr>
                <w:rFonts w:hint="eastAsia"/>
                <w:color w:val="auto"/>
                <w:highlight w:val="none"/>
                <w:lang w:val="en-US" w:eastAsia="zh-CN"/>
              </w:rPr>
              <w:t>保安主管：</w:t>
            </w:r>
          </w:p>
          <w:p>
            <w:pPr>
              <w:widowControl/>
              <w:jc w:val="left"/>
              <w:rPr>
                <w:color w:val="auto"/>
                <w:highlight w:val="none"/>
              </w:rPr>
            </w:pPr>
            <w:r>
              <w:rPr>
                <w:rFonts w:hint="eastAsia"/>
                <w:color w:val="auto"/>
                <w:highlight w:val="none"/>
                <w:lang w:val="en-US" w:eastAsia="zh-CN"/>
              </w:rPr>
              <w:t>1.</w:t>
            </w:r>
            <w:r>
              <w:rPr>
                <w:rFonts w:hint="eastAsia"/>
                <w:color w:val="auto"/>
                <w:highlight w:val="none"/>
              </w:rPr>
              <w:t>具备大专及以上学历的得1分；</w:t>
            </w:r>
          </w:p>
          <w:p>
            <w:pPr>
              <w:widowControl/>
              <w:jc w:val="left"/>
              <w:rPr>
                <w:color w:val="auto"/>
                <w:highlight w:val="none"/>
              </w:rPr>
            </w:pPr>
            <w:r>
              <w:rPr>
                <w:rFonts w:hint="eastAsia"/>
                <w:color w:val="auto"/>
                <w:highlight w:val="none"/>
                <w:lang w:val="en-US" w:eastAsia="zh-CN"/>
              </w:rPr>
              <w:t>2.</w:t>
            </w:r>
            <w:r>
              <w:rPr>
                <w:rFonts w:hint="eastAsia"/>
                <w:color w:val="auto"/>
                <w:highlight w:val="none"/>
              </w:rPr>
              <w:t>具备</w:t>
            </w:r>
            <w:r>
              <w:rPr>
                <w:rFonts w:hint="eastAsia"/>
                <w:color w:val="auto"/>
                <w:highlight w:val="none"/>
                <w:lang w:val="en-US" w:eastAsia="zh-CN"/>
              </w:rPr>
              <w:t>退伍军人证</w:t>
            </w:r>
            <w:r>
              <w:rPr>
                <w:rFonts w:hint="eastAsia"/>
                <w:color w:val="auto"/>
                <w:highlight w:val="none"/>
              </w:rPr>
              <w:t>的得</w:t>
            </w:r>
            <w:r>
              <w:rPr>
                <w:rFonts w:hint="eastAsia"/>
                <w:color w:val="auto"/>
                <w:highlight w:val="none"/>
                <w:lang w:val="en-US" w:eastAsia="zh-CN"/>
              </w:rPr>
              <w:t>1</w:t>
            </w:r>
            <w:r>
              <w:rPr>
                <w:rFonts w:hint="eastAsia"/>
                <w:color w:val="auto"/>
                <w:highlight w:val="none"/>
              </w:rPr>
              <w:t>分；</w:t>
            </w:r>
          </w:p>
          <w:p>
            <w:pPr>
              <w:widowControl/>
              <w:jc w:val="left"/>
              <w:rPr>
                <w:rFonts w:hint="eastAsia"/>
                <w:color w:val="auto"/>
                <w:highlight w:val="none"/>
              </w:rPr>
            </w:pPr>
            <w:r>
              <w:rPr>
                <w:rFonts w:hint="eastAsia"/>
                <w:color w:val="auto"/>
                <w:highlight w:val="none"/>
                <w:lang w:val="en-US" w:eastAsia="zh-CN"/>
              </w:rPr>
              <w:t>3</w:t>
            </w:r>
            <w:r>
              <w:rPr>
                <w:rFonts w:hint="eastAsia"/>
                <w:color w:val="auto"/>
                <w:highlight w:val="none"/>
              </w:rPr>
              <w:t>.具备三级保安证的得2分；</w:t>
            </w:r>
          </w:p>
          <w:p>
            <w:pPr>
              <w:pStyle w:val="3"/>
              <w:ind w:left="0"/>
              <w:jc w:val="left"/>
              <w:rPr>
                <w:rFonts w:hint="default" w:eastAsia="宋体"/>
                <w:color w:val="auto"/>
                <w:highlight w:val="none"/>
                <w:lang w:val="en-US" w:eastAsia="zh-CN"/>
              </w:rPr>
            </w:pPr>
            <w:r>
              <w:rPr>
                <w:rFonts w:hint="eastAsia" w:ascii="Times New Roman" w:hAnsi="Times New Roman" w:eastAsia="宋体" w:cs="Times New Roman"/>
                <w:color w:val="auto"/>
                <w:kern w:val="2"/>
                <w:sz w:val="21"/>
                <w:szCs w:val="20"/>
                <w:highlight w:val="none"/>
                <w:lang w:val="en-US" w:eastAsia="zh-CN"/>
              </w:rPr>
              <w:t>4.具有</w:t>
            </w:r>
            <w:r>
              <w:rPr>
                <w:rFonts w:hint="eastAsia" w:ascii="Times New Roman" w:hAnsi="Times New Roman" w:eastAsia="宋体" w:cs="Times New Roman"/>
                <w:b w:val="0"/>
                <w:bCs w:val="0"/>
                <w:color w:val="auto"/>
                <w:sz w:val="21"/>
                <w:szCs w:val="20"/>
                <w:highlight w:val="none"/>
              </w:rPr>
              <w:t>建（构）筑物消防员证</w:t>
            </w:r>
            <w:r>
              <w:rPr>
                <w:rFonts w:hint="eastAsia" w:ascii="Times New Roman" w:hAnsi="Times New Roman" w:eastAsia="宋体" w:cs="Times New Roman"/>
                <w:b w:val="0"/>
                <w:bCs w:val="0"/>
                <w:color w:val="auto"/>
                <w:sz w:val="21"/>
                <w:szCs w:val="20"/>
                <w:highlight w:val="none"/>
                <w:lang w:val="en-US" w:eastAsia="zh-CN"/>
              </w:rPr>
              <w:t>的得</w:t>
            </w:r>
            <w:r>
              <w:rPr>
                <w:rFonts w:hint="eastAsia" w:ascii="Times New Roman" w:hAnsi="Times New Roman" w:eastAsia="宋体" w:cs="Times New Roman"/>
                <w:color w:val="auto"/>
                <w:kern w:val="2"/>
                <w:sz w:val="21"/>
                <w:szCs w:val="20"/>
                <w:highlight w:val="none"/>
                <w:lang w:val="en-US" w:eastAsia="zh-CN"/>
              </w:rPr>
              <w:t>2分</w:t>
            </w:r>
          </w:p>
        </w:tc>
        <w:tc>
          <w:tcPr>
            <w:tcW w:w="2613" w:type="dxa"/>
            <w:tcBorders>
              <w:top w:val="single" w:color="auto" w:sz="4" w:space="0"/>
              <w:left w:val="nil"/>
              <w:bottom w:val="single" w:color="auto" w:sz="4" w:space="0"/>
              <w:right w:val="single" w:color="auto" w:sz="4" w:space="0"/>
            </w:tcBorders>
            <w:noWrap w:val="0"/>
            <w:vAlign w:val="center"/>
          </w:tcPr>
          <w:p>
            <w:pPr>
              <w:widowControl/>
              <w:tabs>
                <w:tab w:val="left" w:pos="1200"/>
              </w:tabs>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响应文件中提供以上人员证书复印件并加盖供应商公章及供应商为其缴纳的近三个月社保证明复印件并加盖供应商公章。</w:t>
            </w:r>
          </w:p>
        </w:tc>
      </w:tr>
      <w:tr>
        <w:tblPrEx>
          <w:tblCellMar>
            <w:top w:w="0" w:type="dxa"/>
            <w:left w:w="108" w:type="dxa"/>
            <w:bottom w:w="0" w:type="dxa"/>
            <w:right w:w="108" w:type="dxa"/>
          </w:tblCellMar>
        </w:tblPrEx>
        <w:trPr>
          <w:trHeight w:val="1442"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1173" w:type="dxa"/>
            <w:vMerge w:val="continue"/>
            <w:tcBorders>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60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5085" w:type="dxa"/>
            <w:tcBorders>
              <w:top w:val="single" w:color="auto" w:sz="4" w:space="0"/>
              <w:left w:val="nil"/>
              <w:bottom w:val="single" w:color="auto" w:sz="4" w:space="0"/>
              <w:right w:val="single" w:color="auto" w:sz="4" w:space="0"/>
            </w:tcBorders>
            <w:noWrap w:val="0"/>
            <w:vAlign w:val="center"/>
          </w:tcPr>
          <w:p>
            <w:pPr>
              <w:widowControl/>
              <w:jc w:val="both"/>
              <w:rPr>
                <w:rFonts w:ascii="宋体" w:hAnsi="宋体" w:cs="宋体"/>
                <w:color w:val="auto"/>
                <w:kern w:val="0"/>
                <w:szCs w:val="21"/>
                <w:highlight w:val="none"/>
              </w:rPr>
            </w:pPr>
            <w:r>
              <w:rPr>
                <w:rFonts w:hint="eastAsia" w:ascii="宋体" w:hAnsi="宋体" w:cs="宋体"/>
                <w:color w:val="auto"/>
                <w:kern w:val="0"/>
                <w:szCs w:val="21"/>
                <w:highlight w:val="none"/>
              </w:rPr>
              <w:t>拟派遣现场维修</w:t>
            </w:r>
            <w:r>
              <w:rPr>
                <w:rFonts w:hint="eastAsia" w:ascii="宋体" w:hAnsi="宋体" w:cs="宋体"/>
                <w:color w:val="auto"/>
                <w:kern w:val="0"/>
                <w:szCs w:val="21"/>
                <w:highlight w:val="none"/>
                <w:lang w:val="en-US" w:eastAsia="zh-CN"/>
              </w:rPr>
              <w:t>员</w:t>
            </w:r>
            <w:r>
              <w:rPr>
                <w:rFonts w:hint="eastAsia" w:ascii="宋体" w:hAnsi="宋体" w:cs="宋体"/>
                <w:color w:val="auto"/>
                <w:kern w:val="0"/>
                <w:szCs w:val="21"/>
                <w:highlight w:val="none"/>
              </w:rPr>
              <w:t>:</w:t>
            </w:r>
          </w:p>
          <w:p>
            <w:pPr>
              <w:widowControl/>
              <w:jc w:val="both"/>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1.具有</w:t>
            </w:r>
            <w:r>
              <w:rPr>
                <w:rFonts w:hint="eastAsia" w:ascii="宋体" w:hAnsi="宋体" w:cs="宋体"/>
                <w:color w:val="auto"/>
                <w:kern w:val="0"/>
                <w:szCs w:val="21"/>
                <w:highlight w:val="none"/>
                <w:lang w:val="en-US" w:eastAsia="zh-CN"/>
              </w:rPr>
              <w:t>高压电工作业证</w:t>
            </w:r>
            <w:r>
              <w:rPr>
                <w:rFonts w:hint="eastAsia" w:ascii="宋体" w:hAnsi="宋体" w:cs="宋体"/>
                <w:color w:val="auto"/>
                <w:kern w:val="0"/>
                <w:szCs w:val="21"/>
                <w:highlight w:val="none"/>
              </w:rPr>
              <w:t>的得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en-US" w:eastAsia="zh-CN"/>
              </w:rPr>
              <w:t>；</w:t>
            </w:r>
          </w:p>
          <w:p>
            <w:pPr>
              <w:widowControl/>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具有</w:t>
            </w:r>
            <w:r>
              <w:rPr>
                <w:rFonts w:hint="eastAsia" w:ascii="宋体" w:hAnsi="宋体" w:cs="宋体"/>
                <w:color w:val="auto"/>
                <w:kern w:val="0"/>
                <w:szCs w:val="21"/>
                <w:highlight w:val="none"/>
                <w:lang w:val="en-US" w:eastAsia="zh-CN"/>
              </w:rPr>
              <w:t>低压电工作业证</w:t>
            </w:r>
            <w:r>
              <w:rPr>
                <w:rFonts w:hint="eastAsia" w:ascii="宋体" w:hAnsi="宋体" w:cs="宋体"/>
                <w:color w:val="auto"/>
                <w:kern w:val="0"/>
                <w:szCs w:val="21"/>
                <w:highlight w:val="none"/>
              </w:rPr>
              <w:t>的得</w:t>
            </w:r>
            <w:r>
              <w:rPr>
                <w:rFonts w:hint="eastAsia" w:ascii="宋体" w:hAnsi="宋体" w:cs="宋体"/>
                <w:color w:val="auto"/>
                <w:kern w:val="0"/>
                <w:szCs w:val="21"/>
                <w:highlight w:val="none"/>
                <w:lang w:eastAsia="zh-CN"/>
              </w:rPr>
              <w:t>1</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pPr>
              <w:widowControl/>
              <w:jc w:val="both"/>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3.具有特种作业操作证的得1分；</w:t>
            </w:r>
          </w:p>
        </w:tc>
        <w:tc>
          <w:tcPr>
            <w:tcW w:w="2613" w:type="dxa"/>
            <w:tcBorders>
              <w:top w:val="single" w:color="auto" w:sz="4" w:space="0"/>
              <w:left w:val="nil"/>
              <w:bottom w:val="single" w:color="auto" w:sz="4" w:space="0"/>
              <w:right w:val="single" w:color="auto" w:sz="4" w:space="0"/>
            </w:tcBorders>
            <w:noWrap w:val="0"/>
            <w:vAlign w:val="center"/>
          </w:tcPr>
          <w:p>
            <w:pPr>
              <w:widowControl/>
              <w:tabs>
                <w:tab w:val="left" w:pos="1200"/>
              </w:tabs>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响应文件中提供以上人员证书复印件并加盖供应商公章及供应商为其缴纳的近三个月社保证明复印件并加盖供应商公章。</w:t>
            </w:r>
          </w:p>
        </w:tc>
      </w:tr>
      <w:tr>
        <w:tblPrEx>
          <w:tblCellMar>
            <w:top w:w="0" w:type="dxa"/>
            <w:left w:w="108" w:type="dxa"/>
            <w:bottom w:w="0" w:type="dxa"/>
            <w:right w:w="108" w:type="dxa"/>
          </w:tblCellMar>
        </w:tblPrEx>
        <w:trPr>
          <w:trHeight w:val="512" w:hRule="atLeast"/>
          <w:jc w:val="center"/>
        </w:trPr>
        <w:tc>
          <w:tcPr>
            <w:tcW w:w="10064"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Cs w:val="21"/>
                <w:highlight w:val="none"/>
              </w:rPr>
            </w:pPr>
            <w:r>
              <w:rPr>
                <w:rFonts w:hint="eastAsia" w:ascii="宋体" w:hAnsi="宋体" w:cs="宋体"/>
                <w:b/>
                <w:bCs/>
                <w:color w:val="auto"/>
                <w:kern w:val="0"/>
                <w:sz w:val="24"/>
                <w:highlight w:val="none"/>
              </w:rPr>
              <w:t>三、服务方案（</w:t>
            </w:r>
            <w:r>
              <w:rPr>
                <w:rFonts w:hint="eastAsia" w:ascii="宋体" w:hAnsi="宋体" w:cs="宋体"/>
                <w:b/>
                <w:bCs/>
                <w:color w:val="auto"/>
                <w:kern w:val="0"/>
                <w:sz w:val="24"/>
                <w:highlight w:val="none"/>
                <w:lang w:val="en-US" w:eastAsia="zh-CN"/>
              </w:rPr>
              <w:t>35</w:t>
            </w:r>
            <w:r>
              <w:rPr>
                <w:rFonts w:hint="eastAsia" w:ascii="宋体" w:hAnsi="宋体" w:cs="宋体"/>
                <w:b/>
                <w:bCs/>
                <w:color w:val="auto"/>
                <w:kern w:val="0"/>
                <w:sz w:val="24"/>
                <w:highlight w:val="none"/>
              </w:rPr>
              <w:t>分）</w:t>
            </w:r>
          </w:p>
        </w:tc>
      </w:tr>
      <w:tr>
        <w:tblPrEx>
          <w:tblCellMar>
            <w:top w:w="0" w:type="dxa"/>
            <w:left w:w="108" w:type="dxa"/>
            <w:bottom w:w="0" w:type="dxa"/>
            <w:right w:w="108" w:type="dxa"/>
          </w:tblCellMar>
        </w:tblPrEx>
        <w:trPr>
          <w:trHeight w:val="7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173"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r>
              <w:rPr>
                <w:rFonts w:hint="eastAsia" w:ascii="宋体" w:hAnsi="宋体" w:cs="宋体"/>
                <w:b/>
                <w:bCs/>
                <w:color w:val="auto"/>
                <w:kern w:val="0"/>
                <w:szCs w:val="21"/>
                <w:highlight w:val="none"/>
              </w:rPr>
              <w:t>总体方案</w:t>
            </w:r>
          </w:p>
        </w:tc>
        <w:tc>
          <w:tcPr>
            <w:tcW w:w="6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5085"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根据供应商提供的物业总体服务方案的科学性、有效性、合理性，评委综合打分：</w:t>
            </w:r>
          </w:p>
          <w:p>
            <w:pPr>
              <w:widowControl/>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总体服务方案内容描述全面具体、科学合理性强的得</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p>
            <w:pPr>
              <w:widowControl/>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总体服务方案内容描述基本完整、合理可行的得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p>
          <w:p>
            <w:pPr>
              <w:widowControl/>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总体服务方案内容描述针对性欠缺、描述一般的得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p>
            <w:pPr>
              <w:widowControl/>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总体服务方案内容仅作简单描述，合理性差的得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p>
        </w:tc>
        <w:tc>
          <w:tcPr>
            <w:tcW w:w="2613"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r>
              <w:rPr>
                <w:rFonts w:hint="eastAsia" w:ascii="宋体" w:hAnsi="宋体" w:cs="宋体"/>
                <w:b/>
                <w:color w:val="auto"/>
                <w:kern w:val="0"/>
                <w:szCs w:val="21"/>
                <w:highlight w:val="none"/>
              </w:rPr>
              <w:t>未提供总体服务方案内容的不得分。</w:t>
            </w:r>
          </w:p>
        </w:tc>
      </w:tr>
      <w:tr>
        <w:tblPrEx>
          <w:tblCellMar>
            <w:top w:w="0" w:type="dxa"/>
            <w:left w:w="108" w:type="dxa"/>
            <w:bottom w:w="0" w:type="dxa"/>
            <w:right w:w="108" w:type="dxa"/>
          </w:tblCellMar>
        </w:tblPrEx>
        <w:trPr>
          <w:trHeight w:val="1557" w:hRule="atLeast"/>
          <w:jc w:val="center"/>
        </w:trPr>
        <w:tc>
          <w:tcPr>
            <w:tcW w:w="58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17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r>
              <w:rPr>
                <w:rFonts w:hint="eastAsia" w:ascii="宋体" w:hAnsi="宋体" w:cs="宋体"/>
                <w:b/>
                <w:bCs/>
                <w:color w:val="auto"/>
                <w:kern w:val="0"/>
                <w:szCs w:val="21"/>
                <w:highlight w:val="none"/>
              </w:rPr>
              <w:t>项目组织架构、规章制度、岗位分工及职责</w:t>
            </w:r>
          </w:p>
        </w:tc>
        <w:tc>
          <w:tcPr>
            <w:tcW w:w="60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5085"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根据供应商提供的本项目组织架构、规章制度、岗位分工及职责，由评委综合打分：</w:t>
            </w:r>
          </w:p>
          <w:p>
            <w:pPr>
              <w:widowControl/>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供应商针对拟成立的项目组织构架、项目组织规章制度、各岗位分工及岗位职责等方面可行、科学、完整的</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p>
            <w:pPr>
              <w:widowControl/>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项目组织构架、项目组织规章制度、各岗位分工及岗位职责描述基本完整可行的得</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w:t>
            </w:r>
          </w:p>
          <w:p>
            <w:pPr>
              <w:widowControl/>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项目组织构架、项目组织规章制度、各岗位分工及岗位职责针对性欠缺、描述一般的得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p>
          <w:p>
            <w:pPr>
              <w:widowControl/>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项目组织构架、项目组织规章制度、各岗位分工及岗位职责内容简单，合理性差得1分。</w:t>
            </w:r>
          </w:p>
        </w:tc>
        <w:tc>
          <w:tcPr>
            <w:tcW w:w="261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r>
              <w:rPr>
                <w:rFonts w:hint="eastAsia" w:ascii="宋体" w:hAnsi="宋体" w:cs="宋体"/>
                <w:b/>
                <w:bCs/>
                <w:color w:val="auto"/>
                <w:kern w:val="0"/>
                <w:szCs w:val="21"/>
                <w:highlight w:val="none"/>
              </w:rPr>
              <w:t>未提供项目组织构架、项目组织规章制度、各岗位分工及岗位职责内容的不得分。</w:t>
            </w:r>
          </w:p>
        </w:tc>
      </w:tr>
      <w:tr>
        <w:tblPrEx>
          <w:tblCellMar>
            <w:top w:w="0" w:type="dxa"/>
            <w:left w:w="108" w:type="dxa"/>
            <w:bottom w:w="0" w:type="dxa"/>
            <w:right w:w="108" w:type="dxa"/>
          </w:tblCellMar>
        </w:tblPrEx>
        <w:trPr>
          <w:trHeight w:val="1031" w:hRule="atLeast"/>
          <w:jc w:val="center"/>
        </w:trPr>
        <w:tc>
          <w:tcPr>
            <w:tcW w:w="58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17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r>
              <w:rPr>
                <w:rFonts w:hint="eastAsia" w:ascii="宋体" w:hAnsi="宋体" w:cs="宋体"/>
                <w:b/>
                <w:bCs/>
                <w:color w:val="auto"/>
                <w:kern w:val="0"/>
                <w:szCs w:val="21"/>
                <w:highlight w:val="none"/>
              </w:rPr>
              <w:t>实施方案</w:t>
            </w:r>
          </w:p>
        </w:tc>
        <w:tc>
          <w:tcPr>
            <w:tcW w:w="60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5085"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1.环境服务方案（满分5分）</w:t>
            </w:r>
          </w:p>
          <w:p>
            <w:pPr>
              <w:widowControl/>
              <w:spacing w:line="320" w:lineRule="exact"/>
              <w:jc w:val="left"/>
              <w:rPr>
                <w:rFonts w:ascii="宋体" w:hAnsi="宋体" w:cs="宋体"/>
                <w:color w:val="auto"/>
                <w:kern w:val="0"/>
                <w:szCs w:val="21"/>
                <w:highlight w:val="none"/>
              </w:rPr>
            </w:pPr>
            <w:r>
              <w:rPr>
                <w:rFonts w:hint="eastAsia" w:ascii="宋体" w:hAnsi="宋体" w:cs="宋体"/>
                <w:color w:val="auto"/>
                <w:szCs w:val="21"/>
                <w:highlight w:val="none"/>
              </w:rPr>
              <w:t>2.设施运维方案</w:t>
            </w:r>
            <w:r>
              <w:rPr>
                <w:rFonts w:hint="eastAsia" w:ascii="宋体" w:hAnsi="宋体" w:cs="宋体"/>
                <w:snapToGrid w:val="0"/>
                <w:color w:val="auto"/>
                <w:szCs w:val="21"/>
                <w:highlight w:val="none"/>
              </w:rPr>
              <w:t>（满分5分）</w:t>
            </w:r>
          </w:p>
          <w:p>
            <w:pPr>
              <w:widowControl/>
              <w:spacing w:line="320" w:lineRule="exact"/>
              <w:jc w:val="left"/>
              <w:rPr>
                <w:rFonts w:ascii="宋体" w:hAnsi="宋体" w:cs="宋体"/>
                <w:color w:val="auto"/>
                <w:kern w:val="0"/>
                <w:szCs w:val="21"/>
                <w:highlight w:val="none"/>
              </w:rPr>
            </w:pPr>
            <w:r>
              <w:rPr>
                <w:rFonts w:hint="eastAsia" w:ascii="宋体" w:hAnsi="宋体" w:cs="宋体"/>
                <w:color w:val="auto"/>
                <w:szCs w:val="21"/>
                <w:highlight w:val="none"/>
              </w:rPr>
              <w:t>3.秩序维护方案</w:t>
            </w:r>
            <w:r>
              <w:rPr>
                <w:rFonts w:hint="eastAsia" w:ascii="宋体" w:hAnsi="宋体" w:cs="宋体"/>
                <w:snapToGrid w:val="0"/>
                <w:color w:val="auto"/>
                <w:szCs w:val="21"/>
                <w:highlight w:val="none"/>
              </w:rPr>
              <w:t>（满分5分）</w:t>
            </w:r>
          </w:p>
          <w:p>
            <w:pPr>
              <w:widowControl/>
              <w:spacing w:line="32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供应商逐项提供以上服务方案，由评委综合打分：</w:t>
            </w:r>
          </w:p>
          <w:p>
            <w:pPr>
              <w:widowControl/>
              <w:spacing w:line="32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三项实施方案内容描述全面具体，合理性强得4分；</w:t>
            </w:r>
          </w:p>
          <w:p>
            <w:pPr>
              <w:widowControl/>
              <w:spacing w:line="32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三项实施方案内容描述基本完整可行的得3分；</w:t>
            </w:r>
          </w:p>
          <w:p>
            <w:pPr>
              <w:widowControl/>
              <w:spacing w:line="32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三项实施方案内容针对性欠缺、描述一般的得2分；</w:t>
            </w:r>
          </w:p>
          <w:p>
            <w:pPr>
              <w:widowControl/>
              <w:spacing w:line="32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三项实施方案内容仅作简单描述，合理性差得1分；</w:t>
            </w:r>
          </w:p>
          <w:p>
            <w:pPr>
              <w:widowControl/>
              <w:jc w:val="left"/>
              <w:rPr>
                <w:rFonts w:ascii="宋体" w:hAnsi="宋体" w:cs="宋体"/>
                <w:color w:val="auto"/>
                <w:kern w:val="0"/>
                <w:szCs w:val="21"/>
                <w:highlight w:val="none"/>
              </w:rPr>
            </w:pPr>
            <w:r>
              <w:rPr>
                <w:rFonts w:hint="eastAsia" w:ascii="宋体" w:hAnsi="宋体" w:cs="宋体"/>
                <w:b/>
                <w:color w:val="auto"/>
                <w:kern w:val="0"/>
                <w:szCs w:val="21"/>
                <w:highlight w:val="none"/>
              </w:rPr>
              <w:t>三项实施方案内容未提供的不得分。</w:t>
            </w:r>
          </w:p>
        </w:tc>
        <w:tc>
          <w:tcPr>
            <w:tcW w:w="26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b/>
                <w:color w:val="auto"/>
                <w:kern w:val="0"/>
                <w:szCs w:val="21"/>
                <w:highlight w:val="none"/>
              </w:rPr>
              <w:t>三项实施方案内容未提供的不得分。</w:t>
            </w:r>
          </w:p>
        </w:tc>
      </w:tr>
      <w:tr>
        <w:tblPrEx>
          <w:tblCellMar>
            <w:top w:w="0" w:type="dxa"/>
            <w:left w:w="108" w:type="dxa"/>
            <w:bottom w:w="0" w:type="dxa"/>
            <w:right w:w="108" w:type="dxa"/>
          </w:tblCellMar>
        </w:tblPrEx>
        <w:trPr>
          <w:trHeight w:val="510"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173"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auto"/>
                <w:kern w:val="0"/>
                <w:szCs w:val="21"/>
                <w:highlight w:val="none"/>
              </w:rPr>
            </w:pPr>
            <w:r>
              <w:rPr>
                <w:rFonts w:hint="eastAsia" w:ascii="宋体" w:hAnsi="宋体" w:cs="宋体"/>
                <w:b/>
                <w:bCs/>
                <w:color w:val="auto"/>
                <w:kern w:val="0"/>
                <w:szCs w:val="21"/>
                <w:highlight w:val="none"/>
              </w:rPr>
              <w:t>应急预案</w:t>
            </w:r>
          </w:p>
        </w:tc>
        <w:tc>
          <w:tcPr>
            <w:tcW w:w="6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5085"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针对本项目制定详细的应急事件处理预案，由评委综合打分：</w:t>
            </w:r>
          </w:p>
          <w:p>
            <w:pPr>
              <w:widowControl/>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制定的各项应急预案内容描述齐全，可行性强得</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p>
            <w:pPr>
              <w:widowControl/>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制定的各项应急预案内容描述基本完整可行得3分；</w:t>
            </w:r>
          </w:p>
          <w:p>
            <w:pPr>
              <w:widowControl/>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制定的各项应急预案内容仅作简单描述，合理性差的得1分。</w:t>
            </w:r>
          </w:p>
        </w:tc>
        <w:tc>
          <w:tcPr>
            <w:tcW w:w="26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b/>
                <w:bCs/>
                <w:color w:val="auto"/>
                <w:kern w:val="0"/>
                <w:szCs w:val="21"/>
                <w:highlight w:val="none"/>
              </w:rPr>
              <w:t>未提供各项应急预案内容的不得分</w:t>
            </w:r>
          </w:p>
        </w:tc>
      </w:tr>
      <w:tr>
        <w:tblPrEx>
          <w:tblCellMar>
            <w:top w:w="0" w:type="dxa"/>
            <w:left w:w="108" w:type="dxa"/>
            <w:bottom w:w="0" w:type="dxa"/>
            <w:right w:w="108" w:type="dxa"/>
          </w:tblCellMar>
        </w:tblPrEx>
        <w:trPr>
          <w:trHeight w:val="291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173"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服务承诺及措施</w:t>
            </w:r>
          </w:p>
          <w:p>
            <w:pPr>
              <w:widowControl/>
              <w:rPr>
                <w:rFonts w:ascii="宋体" w:hAnsi="宋体" w:cs="宋体"/>
                <w:b/>
                <w:bCs/>
                <w:color w:val="auto"/>
                <w:kern w:val="0"/>
                <w:szCs w:val="21"/>
                <w:highlight w:val="none"/>
              </w:rPr>
            </w:pPr>
          </w:p>
        </w:tc>
        <w:tc>
          <w:tcPr>
            <w:tcW w:w="60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5085"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b/>
                <w:bCs/>
                <w:color w:val="auto"/>
                <w:szCs w:val="21"/>
                <w:highlight w:val="none"/>
              </w:rPr>
            </w:pPr>
            <w:r>
              <w:rPr>
                <w:rFonts w:hint="eastAsia"/>
                <w:b/>
                <w:bCs/>
                <w:color w:val="auto"/>
                <w:szCs w:val="21"/>
                <w:highlight w:val="none"/>
              </w:rPr>
              <w:t>供应商针对本项目物业服务有明确的服务承诺及措施，由评委综合打分：</w:t>
            </w:r>
          </w:p>
          <w:p>
            <w:pPr>
              <w:widowControl/>
              <w:spacing w:line="320" w:lineRule="exact"/>
              <w:jc w:val="left"/>
              <w:rPr>
                <w:color w:val="auto"/>
                <w:szCs w:val="21"/>
                <w:highlight w:val="none"/>
              </w:rPr>
            </w:pPr>
            <w:r>
              <w:rPr>
                <w:rFonts w:hint="eastAsia"/>
                <w:b/>
                <w:bCs/>
                <w:color w:val="auto"/>
                <w:szCs w:val="21"/>
                <w:highlight w:val="none"/>
              </w:rPr>
              <w:t>服务承诺及各项措施</w:t>
            </w:r>
            <w:r>
              <w:rPr>
                <w:rFonts w:hint="eastAsia"/>
                <w:color w:val="auto"/>
                <w:szCs w:val="21"/>
                <w:highlight w:val="none"/>
              </w:rPr>
              <w:t>描述齐全，服务响应及时，能很好满足项目需求得5分；</w:t>
            </w:r>
          </w:p>
          <w:p>
            <w:pPr>
              <w:widowControl/>
              <w:spacing w:line="320" w:lineRule="exact"/>
              <w:jc w:val="left"/>
              <w:rPr>
                <w:color w:val="auto"/>
                <w:szCs w:val="21"/>
                <w:highlight w:val="none"/>
              </w:rPr>
            </w:pPr>
            <w:r>
              <w:rPr>
                <w:rFonts w:hint="eastAsia"/>
                <w:b/>
                <w:bCs/>
                <w:color w:val="auto"/>
                <w:szCs w:val="21"/>
                <w:highlight w:val="none"/>
              </w:rPr>
              <w:t>服务承诺及各项措施</w:t>
            </w:r>
            <w:r>
              <w:rPr>
                <w:rFonts w:hint="eastAsia"/>
                <w:color w:val="auto"/>
                <w:szCs w:val="21"/>
                <w:highlight w:val="none"/>
              </w:rPr>
              <w:t>描述内容有所欠缺，服务响应及服务承诺及时性、合理性基本满足需求的得3分；</w:t>
            </w:r>
          </w:p>
          <w:p>
            <w:pPr>
              <w:widowControl/>
              <w:spacing w:line="320" w:lineRule="exact"/>
              <w:jc w:val="left"/>
              <w:rPr>
                <w:rFonts w:ascii="宋体" w:hAnsi="宋体" w:cs="宋体"/>
                <w:color w:val="auto"/>
                <w:kern w:val="0"/>
                <w:szCs w:val="21"/>
                <w:highlight w:val="none"/>
              </w:rPr>
            </w:pPr>
            <w:r>
              <w:rPr>
                <w:rFonts w:hint="eastAsia"/>
                <w:b/>
                <w:bCs/>
                <w:color w:val="auto"/>
                <w:szCs w:val="21"/>
                <w:highlight w:val="none"/>
              </w:rPr>
              <w:t>服务承诺及各项措施</w:t>
            </w:r>
            <w:r>
              <w:rPr>
                <w:rFonts w:hint="eastAsia"/>
                <w:color w:val="auto"/>
                <w:szCs w:val="21"/>
                <w:highlight w:val="none"/>
              </w:rPr>
              <w:t>仅作简单描述，部分具有合理性的得1分。</w:t>
            </w:r>
          </w:p>
        </w:tc>
        <w:tc>
          <w:tcPr>
            <w:tcW w:w="26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b/>
                <w:bCs/>
                <w:color w:val="auto"/>
                <w:kern w:val="0"/>
                <w:szCs w:val="21"/>
                <w:highlight w:val="none"/>
              </w:rPr>
              <w:t>未提供服务承诺及各项措施的不得分。</w:t>
            </w:r>
          </w:p>
        </w:tc>
      </w:tr>
    </w:tbl>
    <w:p>
      <w:pPr>
        <w:pStyle w:val="6"/>
        <w:numPr>
          <w:ilvl w:val="0"/>
          <w:numId w:val="0"/>
        </w:numPr>
        <w:spacing w:line="380" w:lineRule="exact"/>
        <w:ind w:firstLine="0" w:firstLineChars="0"/>
        <w:rPr>
          <w:rFonts w:hAnsi="宋体" w:cs="宋体"/>
          <w:color w:val="auto"/>
          <w:highlight w:val="none"/>
        </w:rPr>
      </w:pPr>
    </w:p>
    <w:p>
      <w:pPr>
        <w:rPr>
          <w:rFonts w:ascii="等线" w:hAnsi="等线" w:eastAsia="等线" w:cs="等线"/>
          <w:b/>
          <w:color w:val="auto"/>
          <w:sz w:val="30"/>
          <w:szCs w:val="30"/>
          <w:highlight w:val="none"/>
        </w:rPr>
      </w:pPr>
      <w:r>
        <w:rPr>
          <w:rFonts w:ascii="等线" w:hAnsi="等线" w:eastAsia="等线" w:cs="等线"/>
          <w:b/>
          <w:color w:val="auto"/>
          <w:sz w:val="30"/>
          <w:szCs w:val="30"/>
          <w:highlight w:val="none"/>
        </w:rPr>
        <w:br w:type="page"/>
      </w:r>
    </w:p>
    <w:p>
      <w:pPr>
        <w:pStyle w:val="7"/>
        <w:spacing w:line="500" w:lineRule="exact"/>
        <w:jc w:val="left"/>
        <w:rPr>
          <w:rFonts w:hint="default"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附件3：</w:t>
      </w:r>
    </w:p>
    <w:p>
      <w:pPr>
        <w:pStyle w:val="7"/>
        <w:spacing w:line="500" w:lineRule="exact"/>
        <w:jc w:val="center"/>
        <w:rPr>
          <w:rFonts w:ascii="宋体" w:hAnsi="宋体"/>
          <w:b/>
          <w:color w:val="auto"/>
          <w:sz w:val="44"/>
          <w:szCs w:val="44"/>
          <w:highlight w:val="none"/>
        </w:rPr>
      </w:pPr>
      <w:r>
        <w:rPr>
          <w:rFonts w:hint="eastAsia" w:ascii="宋体" w:hAnsi="宋体"/>
          <w:b/>
          <w:color w:val="auto"/>
          <w:sz w:val="44"/>
          <w:szCs w:val="44"/>
          <w:highlight w:val="none"/>
        </w:rPr>
        <w:t>投标保证金说明（线下缴纳）</w:t>
      </w:r>
    </w:p>
    <w:p>
      <w:pPr>
        <w:spacing w:line="500" w:lineRule="exact"/>
        <w:ind w:firstLine="420" w:firstLineChars="200"/>
        <w:rPr>
          <w:rFonts w:ascii="宋体" w:hAnsi="宋体"/>
          <w:color w:val="auto"/>
          <w:szCs w:val="21"/>
          <w:highlight w:val="none"/>
        </w:rPr>
      </w:pPr>
    </w:p>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1、投标单位应按规定的金额递交投标保证金。投标单位应充分考虑投标保证金在途时间，确保投标保证金在2023年 </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18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17:00</w:t>
      </w:r>
      <w:r>
        <w:rPr>
          <w:rFonts w:hint="eastAsia" w:ascii="宋体" w:hAnsi="宋体" w:cs="宋体"/>
          <w:color w:val="auto"/>
          <w:szCs w:val="21"/>
          <w:highlight w:val="none"/>
        </w:rPr>
        <w:t>点前到达投标保证金专用账户。如投标保证金在</w:t>
      </w:r>
      <w:r>
        <w:rPr>
          <w:rFonts w:hint="eastAsia" w:ascii="宋体" w:hAnsi="宋体" w:cs="宋体"/>
          <w:color w:val="auto"/>
          <w:szCs w:val="21"/>
          <w:highlight w:val="none"/>
          <w:lang w:val="en-US" w:eastAsia="zh-CN"/>
        </w:rPr>
        <w:t>2023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17:00</w:t>
      </w:r>
      <w:r>
        <w:rPr>
          <w:rFonts w:hint="eastAsia" w:ascii="宋体" w:hAnsi="宋体" w:cs="宋体"/>
          <w:color w:val="auto"/>
          <w:szCs w:val="21"/>
          <w:highlight w:val="none"/>
        </w:rPr>
        <w:t>点前未到账（以我司财务部确认到账为准），作未缴纳投标保证金处理。</w:t>
      </w:r>
    </w:p>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2、投标保证金专用账户（请勿汇错，否则后果自负）</w:t>
      </w:r>
    </w:p>
    <w:p>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收款单位：</w:t>
      </w:r>
      <w:r>
        <w:rPr>
          <w:rFonts w:hint="eastAsia" w:ascii="宋体" w:hAnsi="宋体" w:cs="宋体"/>
          <w:color w:val="auto"/>
          <w:szCs w:val="21"/>
          <w:highlight w:val="none"/>
          <w:lang w:eastAsia="zh-CN"/>
        </w:rPr>
        <w:t>常州坤方建设发展有限公司</w:t>
      </w:r>
    </w:p>
    <w:p>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开户银</w:t>
      </w:r>
      <w:r>
        <w:rPr>
          <w:rFonts w:hint="eastAsia" w:ascii="宋体" w:hAnsi="宋体" w:eastAsia="宋体" w:cs="宋体"/>
          <w:color w:val="auto"/>
          <w:szCs w:val="21"/>
          <w:highlight w:val="none"/>
        </w:rPr>
        <w:t>行：</w:t>
      </w:r>
      <w:r>
        <w:rPr>
          <w:rFonts w:hint="eastAsia" w:ascii="宋体" w:hAnsi="宋体" w:eastAsia="宋体" w:cs="宋体"/>
          <w:b w:val="0"/>
          <w:color w:val="auto"/>
          <w:sz w:val="21"/>
          <w:szCs w:val="21"/>
          <w:highlight w:val="none"/>
        </w:rPr>
        <w:t>中国工商银行股份有限公司常州新区支行</w:t>
      </w:r>
    </w:p>
    <w:p>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银行账号：</w:t>
      </w:r>
      <w:r>
        <w:rPr>
          <w:rFonts w:hint="eastAsia" w:ascii="宋体" w:hAnsi="宋体" w:eastAsia="宋体" w:cs="宋体"/>
          <w:b w:val="0"/>
          <w:color w:val="auto"/>
          <w:sz w:val="21"/>
          <w:szCs w:val="21"/>
          <w:highlight w:val="none"/>
        </w:rPr>
        <w:t>1105021609001755319</w:t>
      </w:r>
    </w:p>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3、投标保证金金额：人民币 </w:t>
      </w:r>
      <w:r>
        <w:rPr>
          <w:rFonts w:hint="eastAsia" w:ascii="宋体" w:hAnsi="宋体" w:cs="宋体"/>
          <w:color w:val="auto"/>
          <w:szCs w:val="21"/>
          <w:highlight w:val="none"/>
          <w:lang w:val="en-US" w:eastAsia="zh-CN"/>
        </w:rPr>
        <w:t>陆</w:t>
      </w:r>
      <w:r>
        <w:rPr>
          <w:rFonts w:hint="eastAsia" w:ascii="宋体" w:hAnsi="宋体" w:cs="宋体"/>
          <w:color w:val="auto"/>
          <w:szCs w:val="21"/>
          <w:highlight w:val="none"/>
        </w:rPr>
        <w:t xml:space="preserve"> 万元整</w:t>
      </w:r>
    </w:p>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4、投标保证金缴纳方式</w:t>
      </w:r>
    </w:p>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sym w:font="Wingdings 2" w:char="F052"/>
      </w:r>
      <w:r>
        <w:rPr>
          <w:rFonts w:hint="eastAsia" w:ascii="宋体" w:hAnsi="宋体" w:cs="宋体"/>
          <w:color w:val="auto"/>
          <w:szCs w:val="21"/>
          <w:highlight w:val="none"/>
        </w:rPr>
        <w:t>投标单位采用网银转账、电汇等方式将保证金从基本账户缴至“投标保证金专用账户”，然后凭银行回单加盖公司公章作为投保保证金缴纳证明，转账、电汇需备注：项目、工程名称及标段号（若有）投标保证金。</w:t>
      </w:r>
    </w:p>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sym w:font="Wingdings 2" w:char="F053"/>
      </w:r>
      <w:r>
        <w:rPr>
          <w:rFonts w:hint="eastAsia" w:ascii="宋体" w:hAnsi="宋体" w:cs="宋体"/>
          <w:color w:val="auto"/>
          <w:szCs w:val="21"/>
          <w:highlight w:val="none"/>
        </w:rPr>
        <w:t>投标单位采用银行保函方式提交。</w:t>
      </w:r>
    </w:p>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sym w:font="Wingdings 2" w:char="F053"/>
      </w:r>
      <w:r>
        <w:rPr>
          <w:rFonts w:hint="eastAsia" w:ascii="宋体" w:hAnsi="宋体" w:cs="宋体"/>
          <w:color w:val="auto"/>
          <w:szCs w:val="21"/>
          <w:highlight w:val="none"/>
        </w:rPr>
        <w:t>投标单位采用经相关部门认定的有资质的专业担保公司投标保函方式提交。</w:t>
      </w:r>
    </w:p>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5、缴纳保证金注意事项：任何未按上述规定提供投标保证金缴纳证明的将被拒绝。</w:t>
      </w:r>
    </w:p>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6、投标保证金的退还时</w:t>
      </w:r>
      <w:bookmarkStart w:id="0" w:name="_GoBack"/>
      <w:bookmarkEnd w:id="0"/>
      <w:r>
        <w:rPr>
          <w:rFonts w:hint="eastAsia" w:ascii="宋体" w:hAnsi="宋体" w:cs="宋体"/>
          <w:color w:val="auto"/>
          <w:szCs w:val="21"/>
          <w:highlight w:val="none"/>
        </w:rPr>
        <w:t>间：</w:t>
      </w:r>
    </w:p>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sym w:font="Wingdings 2" w:char="F053"/>
      </w:r>
      <w:r>
        <w:rPr>
          <w:rFonts w:hint="eastAsia" w:ascii="宋体" w:hAnsi="宋体" w:cs="宋体"/>
          <w:color w:val="auto"/>
          <w:szCs w:val="21"/>
          <w:highlight w:val="none"/>
        </w:rPr>
        <w:t xml:space="preserve">中标人的投标保证金在签订合同后自动转为履约保证金； </w:t>
      </w:r>
    </w:p>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中标人的投标保证金在签订合同后5个工作日后</w:t>
      </w:r>
      <w:r>
        <w:rPr>
          <w:rFonts w:hint="eastAsia" w:ascii="宋体" w:hAnsi="宋体" w:cs="宋体"/>
          <w:color w:val="auto"/>
          <w:szCs w:val="21"/>
          <w:highlight w:val="none"/>
          <w:lang w:val="en-US" w:eastAsia="zh-CN"/>
        </w:rPr>
        <w:t>无息</w:t>
      </w:r>
      <w:r>
        <w:rPr>
          <w:rFonts w:hint="eastAsia" w:ascii="宋体" w:hAnsi="宋体" w:cs="宋体"/>
          <w:color w:val="auto"/>
          <w:szCs w:val="21"/>
          <w:highlight w:val="none"/>
        </w:rPr>
        <w:t>退还；</w:t>
      </w:r>
    </w:p>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sym w:font="Wingdings 2" w:char="F052"/>
      </w:r>
      <w:r>
        <w:rPr>
          <w:rFonts w:hint="eastAsia" w:ascii="宋体" w:hAnsi="宋体" w:cs="宋体"/>
          <w:color w:val="auto"/>
          <w:szCs w:val="21"/>
          <w:highlight w:val="none"/>
        </w:rPr>
        <w:t>非排名前三名的投标人保证金在中标公示结束3个工作日内退还；排名前三名的中标候选人（中标人除外）的投标保证金，在</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与中标人签订合同后5个工作日内退还。</w:t>
      </w:r>
    </w:p>
    <w:p>
      <w:pPr>
        <w:widowControl/>
        <w:spacing w:line="500" w:lineRule="exact"/>
        <w:ind w:firstLine="420" w:firstLineChars="200"/>
        <w:jc w:val="left"/>
        <w:rPr>
          <w:rFonts w:ascii="宋体" w:hAnsi="宋体"/>
          <w:color w:val="auto"/>
          <w:szCs w:val="21"/>
          <w:highlight w:val="none"/>
        </w:rPr>
      </w:pPr>
    </w:p>
    <w:permEnd w:id="28"/>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B017DC"/>
    <w:multiLevelType w:val="singleLevel"/>
    <w:tmpl w:val="EEB017D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MWEwZDM3NDFjYzQ5MmZjZmUwYTFlZGM0OTMzOWYifQ=="/>
  </w:docVars>
  <w:rsids>
    <w:rsidRoot w:val="626F2107"/>
    <w:rsid w:val="0895702F"/>
    <w:rsid w:val="626F2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toc 9"/>
    <w:basedOn w:val="1"/>
    <w:next w:val="1"/>
    <w:qFormat/>
    <w:uiPriority w:val="0"/>
    <w:pPr>
      <w:wordWrap w:val="0"/>
      <w:ind w:left="1183"/>
      <w:jc w:val="both"/>
    </w:pPr>
    <w:rPr>
      <w:rFonts w:ascii="MingLiU"/>
      <w:color w:val="000000"/>
      <w:sz w:val="11"/>
      <w:lang w:val="en-US" w:eastAsia="zh-CN" w:bidi="ar-SA"/>
    </w:rPr>
  </w:style>
  <w:style w:type="paragraph" w:customStyle="1" w:styleId="6">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7">
    <w:name w:val="正文_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2023-04-03T10:07:00Z</dcterms:created>
  <dc:creator>陈伟</dc:creator>
  <cp:lastModifiedBy>陈伟</cp:lastModifiedBy>
  <dcterms:modified xsi:type="dcterms:W3CDTF">2023-04-03T10:12:41Z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905FA43E42EA4E3FABA9A826F49D4228</vt:lpwstr>
  </property>
</Properties>
</file>